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none"/>
              <w:bottom w:val="single" w:color="1F4E79" w:sz="12"/>
              <w:right w:val="none"/>
            </w:tcBorders>
            <w:shd w:fill="1F4E79" w:val="clear"/>
            <w:tcMar>
              <w:top w:type="dxa" w:w="400"/>
              <w:left w:type="dxa" w:w="300"/>
              <w:bottom w:type="dxa" w:w="400"/>
              <w:right w:type="dxa" w:w="300"/>
            </w:tcMar>
          </w:tcPr>
          <w:p>
            <w:pPr>
              <w:jc w:val="center"/>
            </w:pPr>
            <w:r>
              <w:rPr>
                <w:rFonts w:ascii="Arial" w:cs="Arial" w:eastAsia="Arial" w:hAnsi="Arial"/>
                <w:b/>
                <w:bCs/>
                <w:color w:val="FFFFFF"/>
                <w:sz w:val="52"/>
                <w:szCs w:val="52"/>
              </w:rPr>
              <w:t xml:space="preserve">ENTERPRISE AGENTIC PLATFORM</w:t>
            </w:r>
          </w:p>
          <w:p>
            <w:pPr>
              <w:jc w:val="center"/>
            </w:pPr>
            <w:r>
              <w:rPr>
                <w:rFonts w:ascii="Arial" w:cs="Arial" w:eastAsia="Arial" w:hAnsi="Arial"/>
                <w:color w:val="BDD7EE"/>
                <w:sz w:val="32"/>
                <w:szCs w:val="32"/>
              </w:rPr>
              <w:t xml:space="preserve">Architecture &amp; Security Design</w:t>
            </w:r>
          </w:p>
          <w:p>
            <w:pPr>
              <w:spacing w:before="200"/>
              <w:jc w:val="center"/>
            </w:pPr>
            <w:r>
              <w:rPr>
                <w:rFonts w:ascii="Arial" w:cs="Arial" w:eastAsia="Arial" w:hAnsi="Arial"/>
                <w:color w:val="9DC3E6"/>
                <w:sz w:val="22"/>
                <w:szCs w:val="22"/>
              </w:rPr>
              <w:t xml:space="preserve">AWS · Amazon Bedrock · ADFS/Entra ID · MCP · Langfuse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Document Classification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INTERNAL — RESTRICTED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Enterprise Architecture Design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Version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 — DRAFT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Enterprise AI Architecture Team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Last Updated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2026-03-13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Applicable 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EU (GDPR scope)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AWS Region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eu-west-1 (primary), eu-central-1 (DR)</w:t>
            </w:r>
          </w:p>
        </w:tc>
      </w:tr>
    </w:tbl>
    <w:p>
      <w:r>
        <w:br w:type="page"/>
      </w:r>
    </w:p>
    <w:p>
      <w:pPr>
        <w:pStyle w:val="Heading1"/>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32"/>
          <w:szCs w:val="32"/>
        </w:rPr>
        <w:t xml:space="preserve">1. Executive Summary</w:t>
      </w:r>
    </w:p>
    <w:p>
      <w:pPr>
        <w:pBdr>
          <w:bottom w:val="single" w:color="2E75B6" w:sz="6" w:space="1"/>
        </w:pBdr>
      </w:pPr>
      <w:r>
        <w:t xml:space="preserve"/>
      </w:r>
    </w:p>
    <w:p>
      <w:pPr>
        <w:spacing w:before="80" w:after="80"/>
      </w:pPr>
      <w:r>
        <w:rPr>
          <w:rFonts w:ascii="Arial" w:cs="Arial" w:eastAsia="Arial" w:hAnsi="Arial"/>
          <w:sz w:val="20"/>
          <w:szCs w:val="20"/>
        </w:rPr>
        <w:t xml:space="preserve">This document defines the enterprise architecture for an AI Agentic Platform built on Amazon Bedrock Agent Core Runtime, deployed within an EU-based bank's AWS environment. The platform integrates with the existing ADFS/Entra ID identity infrastructure while ensuring that the number of external identity provider calls is minimised to reduce latency, cost and external dependency risk.</w:t>
      </w:r>
    </w:p>
    <w:p>
      <w:pPr>
        <w:spacing w:before="80" w:after="80"/>
      </w:pPr>
      <w:r>
        <w:t xml:space="preserve"/>
      </w:r>
    </w:p>
    <w:p>
      <w:pPr>
        <w:spacing w:before="80" w:after="80"/>
      </w:pPr>
      <w:r>
        <w:rPr>
          <w:rFonts w:ascii="Arial" w:cs="Arial" w:eastAsia="Arial" w:hAnsi="Arial"/>
          <w:sz w:val="20"/>
          <w:szCs w:val="20"/>
        </w:rPr>
        <w:t xml:space="preserve">The architecture follows a defence-in-depth model where authentication tokens issued by ADFS are enriched with bank-specific Feature/Functional Tenant (FT) rights at the BFF layer and propagated as signed context throughout the entire agent call chain — from the UI through API Gateway, Agent Orchestrator, MCP Gateway, and individual MCP tool servers.</w:t>
      </w:r>
    </w:p>
    <w:p>
      <w:pPr>
        <w:spacing w:before="80" w:after="80"/>
      </w:pPr>
      <w:r>
        <w:t xml:space="preserve"/>
      </w:r>
    </w:p>
    <w:p>
      <w:pPr>
        <w:spacing w:before="80" w:after="80"/>
      </w:pPr>
      <w:r>
        <w:rPr>
          <w:rFonts w:ascii="Arial" w:cs="Arial" w:eastAsia="Arial" w:hAnsi="Arial"/>
          <w:sz w:val="20"/>
          <w:szCs w:val="20"/>
        </w:rPr>
        <w:t xml:space="preserve">Langfuse is deployed as a self-hosted observability layer within the VPC, providing end-to-end tracing of agent invocations, LLM cost tracking, evaluation pipelines, and audit logs that capture FT rights context for compliance purposes.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60" w:after="60"/>
            </w:pPr>
            <w:r>
              <w:rPr>
                <w:rFonts w:ascii="Arial" w:cs="Arial" w:eastAsia="Arial" w:hAnsi="Arial"/>
                <w:i/>
                <w:iCs/>
                <w:color w:val="404040"/>
                <w:sz w:val="18"/>
                <w:szCs w:val="18"/>
              </w:rPr>
              <w:t xml:space="preserve">KEY PRINCIPLE: External ADFS calls occur ONCE per user session (at login). All subsequent internal service-to-service authentication is performed against a locally cached, internally signed enriched-context JWT. JWKS keys from ADFS are cached with a 6-hour refresh interval.</w:t>
            </w:r>
          </w:p>
        </w:tc>
      </w:tr>
    </w:tbl>
    <w:p>
      <w:r>
        <w:br w:type="page"/>
      </w:r>
    </w:p>
    <w:p>
      <w:pPr>
        <w:pStyle w:val="Heading1"/>
      </w:pPr>
      <w:r>
        <w:rPr>
          <w:rFonts w:ascii="Arial" w:cs="Arial" w:eastAsia="Arial" w:hAnsi="Arial"/>
          <w:b/>
          <w:bCs/>
          <w:color w:val="1F4E79"/>
          <w:sz w:val="32"/>
          <w:szCs w:val="32"/>
        </w:rPr>
        <w:t xml:space="preserve">2. Architecture Overview</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2.1 High-Level System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80"/>
              <w:bottom w:type="dxa" w:w="80"/>
              <w:right w:type="dxa" w:w="180"/>
            </w:tcMar>
          </w:tcPr>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ENTERPRISE AGENTIC PLATFORM — HIGH LEVEL                   │</w:t>
            </w:r>
          </w:p>
          <w:p>
            <w:pPr>
              <w:spacing w:before="20" w:after="20"/>
            </w:pPr>
            <w:r>
              <w:rPr>
                <w:rFonts w:ascii="Courier New" w:cs="Courier New" w:eastAsia="Courier New" w:hAnsi="Courier New"/>
                <w:color w:val="D4D4D4"/>
                <w:sz w:val="16"/>
                <w:szCs w:val="16"/>
              </w:rPr>
              <w:t xml:space="preserve">│                         EU Bank · AWS · ADFS/Entra ID Integration                   │</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w:t>
            </w:r>
          </w:p>
          <w:p>
            <w:pPr>
              <w:spacing w:before="20" w:after="20"/>
            </w:pPr>
            <w:r>
              <w:rPr>
                <w:rFonts w:ascii="Courier New" w:cs="Courier New" w:eastAsia="Courier New" w:hAnsi="Courier New"/>
                <w:color w:val="D4D4D4"/>
                <w:sz w:val="16"/>
                <w:szCs w:val="16"/>
              </w:rPr>
              <w:t xml:space="preserve">  ║  END USERS   ║     │                    AWS VPC (eu-west-1)                        │</w:t>
            </w:r>
          </w:p>
          <w:p>
            <w:pPr>
              <w:spacing w:before="20" w:after="20"/>
            </w:pPr>
            <w:r>
              <w:rPr>
                <w:rFonts w:ascii="Courier New" w:cs="Courier New" w:eastAsia="Courier New" w:hAnsi="Courier New"/>
                <w:color w:val="D4D4D4"/>
                <w:sz w:val="16"/>
                <w:szCs w:val="16"/>
              </w:rPr>
              <w:t xml:space="preserve">  ║  (Browser /  ║     │                                                              │</w:t>
            </w:r>
          </w:p>
          <w:p>
            <w:pPr>
              <w:spacing w:before="20" w:after="20"/>
            </w:pPr>
            <w:r>
              <w:rPr>
                <w:rFonts w:ascii="Courier New" w:cs="Courier New" w:eastAsia="Courier New" w:hAnsi="Courier New"/>
                <w:color w:val="D4D4D4"/>
                <w:sz w:val="16"/>
                <w:szCs w:val="16"/>
              </w:rPr>
              <w:t xml:space="preserve">  ║   Mobile)    ║     │  ┌──────────┐   ┌──────────┐   ┌────────────────────────┐   │</w:t>
            </w:r>
          </w:p>
          <w:p>
            <w:pPr>
              <w:spacing w:before="20" w:after="20"/>
            </w:pPr>
            <w:r>
              <w:rPr>
                <w:rFonts w:ascii="Courier New" w:cs="Courier New" w:eastAsia="Courier New" w:hAnsi="Courier New"/>
                <w:color w:val="D4D4D4"/>
                <w:sz w:val="16"/>
                <w:szCs w:val="16"/>
              </w:rPr>
              <w:t xml:space="preserve">  ╚══════╤═══════╝     │  │CloudFront│──▶│   WAF    │──▶│  Application Load      │   │</w:t>
            </w:r>
          </w:p>
          <w:p>
            <w:pPr>
              <w:spacing w:before="20" w:after="20"/>
            </w:pPr>
            <w:r>
              <w:rPr>
                <w:rFonts w:ascii="Courier New" w:cs="Courier New" w:eastAsia="Courier New" w:hAnsi="Courier New"/>
                <w:color w:val="D4D4D4"/>
                <w:sz w:val="16"/>
                <w:szCs w:val="16"/>
              </w:rPr>
              <w:t xml:space="preserve">         │  HTTPS      │  │ (CDN/TLS)│   │ (OWASP)  │   │  Balancer (ALB)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ADFS/Entra  ║     │                            │        BFF LAYER              │ │</w:t>
            </w:r>
          </w:p>
          <w:p>
            <w:pPr>
              <w:spacing w:before="20" w:after="20"/>
            </w:pPr>
            <w:r>
              <w:rPr>
                <w:rFonts w:ascii="Courier New" w:cs="Courier New" w:eastAsia="Courier New" w:hAnsi="Courier New"/>
                <w:color w:val="D4D4D4"/>
                <w:sz w:val="16"/>
                <w:szCs w:val="16"/>
              </w:rPr>
              <w:t xml:space="preserve">  ║  ID (External║◀────┼──── OIDC Auth Code Flow ───│  (ECS Fargate - Node/Java)    │ │</w:t>
            </w:r>
          </w:p>
          <w:p>
            <w:pPr>
              <w:spacing w:before="20" w:after="20"/>
            </w:pPr>
            <w:r>
              <w:rPr>
                <w:rFonts w:ascii="Courier New" w:cs="Courier New" w:eastAsia="Courier New" w:hAnsi="Courier New"/>
                <w:color w:val="D4D4D4"/>
                <w:sz w:val="16"/>
                <w:szCs w:val="16"/>
              </w:rPr>
              <w:t xml:space="preserve">  ║  - Minimize  ║     │     [EXTERNAL CALL #1]      │  · Token exchange             │ │</w:t>
            </w:r>
          </w:p>
          <w:p>
            <w:pPr>
              <w:spacing w:before="20" w:after="20"/>
            </w:pPr>
            <w:r>
              <w:rPr>
                <w:rFonts w:ascii="Courier New" w:cs="Courier New" w:eastAsia="Courier New" w:hAnsi="Courier New"/>
                <w:color w:val="D4D4D4"/>
                <w:sz w:val="16"/>
                <w:szCs w:val="16"/>
              </w:rPr>
              <w:t xml:space="preserve">  ║  calls!)     ║     │                            │  · Session management          │ │</w:t>
            </w:r>
          </w:p>
          <w:p>
            <w:pPr>
              <w:spacing w:before="20" w:after="20"/>
            </w:pPr>
            <w:r>
              <w:rPr>
                <w:rFonts w:ascii="Courier New" w:cs="Courier New" w:eastAsia="Courier New" w:hAnsi="Courier New"/>
                <w:color w:val="D4D4D4"/>
                <w:sz w:val="16"/>
                <w:szCs w:val="16"/>
              </w:rPr>
              <w:t xml:space="preserve">  ╚══════════════╝     │                            │  · FT enrichment               │ │</w:t>
            </w:r>
          </w:p>
          <w:p>
            <w:pPr>
              <w:spacing w:before="20" w:after="20"/>
            </w:pPr>
            <w:r>
              <w:rPr>
                <w:rFonts w:ascii="Courier New" w:cs="Courier New" w:eastAsia="Courier New" w:hAnsi="Courier New"/>
                <w:color w:val="D4D4D4"/>
                <w:sz w:val="16"/>
                <w:szCs w:val="16"/>
              </w:rPr>
              <w:t xml:space="preserve">                       │                            │  · Rate limiting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JWKS Cache  ║     │                                           │                  │</w:t>
            </w:r>
          </w:p>
          <w:p>
            <w:pPr>
              <w:spacing w:before="20" w:after="20"/>
            </w:pPr>
            <w:r>
              <w:rPr>
                <w:rFonts w:ascii="Courier New" w:cs="Courier New" w:eastAsia="Courier New" w:hAnsi="Courier New"/>
                <w:color w:val="D4D4D4"/>
                <w:sz w:val="16"/>
                <w:szCs w:val="16"/>
              </w:rPr>
              <w:t xml:space="preserve">  ║  (ElastiCache║◀────┼── Cache JWKS (refresh 6h) ────────────────│                  │</w:t>
            </w:r>
          </w:p>
          <w:p>
            <w:pPr>
              <w:spacing w:before="20" w:after="20"/>
            </w:pPr>
            <w:r>
              <w:rPr>
                <w:rFonts w:ascii="Courier New" w:cs="Courier New" w:eastAsia="Courier New" w:hAnsi="Courier New"/>
                <w:color w:val="D4D4D4"/>
                <w:sz w:val="16"/>
                <w:szCs w:val="16"/>
              </w:rPr>
              <w:t xml:space="preserve">  ║   Redis)     ║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INTERNAL API GATEWAY     │  │</w:t>
            </w:r>
          </w:p>
          <w:p>
            <w:pPr>
              <w:spacing w:before="20" w:after="20"/>
            </w:pPr>
            <w:r>
              <w:rPr>
                <w:rFonts w:ascii="Courier New" w:cs="Courier New" w:eastAsia="Courier New" w:hAnsi="Courier New"/>
                <w:color w:val="D4D4D4"/>
                <w:sz w:val="16"/>
                <w:szCs w:val="16"/>
              </w:rPr>
              <w:t xml:space="preserve">                       │                            │  (Amazon API GW / Kong)       │  │</w:t>
            </w:r>
          </w:p>
          <w:p>
            <w:pPr>
              <w:spacing w:before="20" w:after="20"/>
            </w:pPr>
            <w:r>
              <w:rPr>
                <w:rFonts w:ascii="Courier New" w:cs="Courier New" w:eastAsia="Courier New" w:hAnsi="Courier New"/>
                <w:color w:val="D4D4D4"/>
                <w:sz w:val="16"/>
                <w:szCs w:val="16"/>
              </w:rPr>
              <w:t xml:space="preserve">                       │                            │  · JWT validation (local)     │  │</w:t>
            </w:r>
          </w:p>
          <w:p>
            <w:pPr>
              <w:spacing w:before="20" w:after="20"/>
            </w:pPr>
            <w:r>
              <w:rPr>
                <w:rFonts w:ascii="Courier New" w:cs="Courier New" w:eastAsia="Courier New" w:hAnsi="Courier New"/>
                <w:color w:val="D4D4D4"/>
                <w:sz w:val="16"/>
                <w:szCs w:val="16"/>
              </w:rPr>
              <w:t xml:space="preserve">                       │                            │  · FT rights enforcement      │  │</w:t>
            </w:r>
          </w:p>
          <w:p>
            <w:pPr>
              <w:spacing w:before="20" w:after="20"/>
            </w:pPr>
            <w:r>
              <w:rPr>
                <w:rFonts w:ascii="Courier New" w:cs="Courier New" w:eastAsia="Courier New" w:hAnsi="Courier New"/>
                <w:color w:val="D4D4D4"/>
                <w:sz w:val="16"/>
                <w:szCs w:val="16"/>
              </w:rPr>
              <w:t xml:space="preserve">                       │                            │  · Route to agent core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AGENT CORE (Amazon Bedrock)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   ┌─────────────────────────┐  │ │</w:t>
            </w:r>
          </w:p>
          <w:p>
            <w:pPr>
              <w:spacing w:before="20" w:after="20"/>
            </w:pPr>
            <w:r>
              <w:rPr>
                <w:rFonts w:ascii="Courier New" w:cs="Courier New" w:eastAsia="Courier New" w:hAnsi="Courier New"/>
                <w:color w:val="D4D4D4"/>
                <w:sz w:val="16"/>
                <w:szCs w:val="16"/>
              </w:rPr>
              <w:t xml:space="preserve">                       │          │  │Orchestrator  │   │   Context Store          │  │ │</w:t>
            </w:r>
          </w:p>
          <w:p>
            <w:pPr>
              <w:spacing w:before="20" w:after="20"/>
            </w:pPr>
            <w:r>
              <w:rPr>
                <w:rFonts w:ascii="Courier New" w:cs="Courier New" w:eastAsia="Courier New" w:hAnsi="Courier New"/>
                <w:color w:val="D4D4D4"/>
                <w:sz w:val="16"/>
                <w:szCs w:val="16"/>
              </w:rPr>
              <w:t xml:space="preserve">                       │          │  │(Bedrock Agent│   │   (DynamoDB)             │  │ │</w:t>
            </w:r>
          </w:p>
          <w:p>
            <w:pPr>
              <w:spacing w:before="20" w:after="20"/>
            </w:pPr>
            <w:r>
              <w:rPr>
                <w:rFonts w:ascii="Courier New" w:cs="Courier New" w:eastAsia="Courier New" w:hAnsi="Courier New"/>
                <w:color w:val="D4D4D4"/>
                <w:sz w:val="16"/>
                <w:szCs w:val="16"/>
              </w:rPr>
              <w:t xml:space="preserve">                       │          │  │ Runtime)     │   │  · Session state         │  │ │</w:t>
            </w:r>
          </w:p>
          <w:p>
            <w:pPr>
              <w:spacing w:before="20" w:after="20"/>
            </w:pPr>
            <w:r>
              <w:rPr>
                <w:rFonts w:ascii="Courier New" w:cs="Courier New" w:eastAsia="Courier New" w:hAnsi="Courier New"/>
                <w:color w:val="D4D4D4"/>
                <w:sz w:val="16"/>
                <w:szCs w:val="16"/>
              </w:rPr>
              <w:t xml:space="preserve">                       │          │  │              │   │  · FT rights context     │  │ │</w:t>
            </w:r>
          </w:p>
          <w:p>
            <w:pPr>
              <w:spacing w:before="20" w:after="20"/>
            </w:pPr>
            <w:r>
              <w:rPr>
                <w:rFonts w:ascii="Courier New" w:cs="Courier New" w:eastAsia="Courier New" w:hAnsi="Courier New"/>
                <w:color w:val="D4D4D4"/>
                <w:sz w:val="16"/>
                <w:szCs w:val="16"/>
              </w:rPr>
              <w:t xml:space="preserve">                       │          │  │  Claude /    │   │  · Conversation history  │  │ │</w:t>
            </w:r>
          </w:p>
          <w:p>
            <w:pPr>
              <w:spacing w:before="20" w:after="20"/>
            </w:pPr>
            <w:r>
              <w:rPr>
                <w:rFonts w:ascii="Courier New" w:cs="Courier New" w:eastAsia="Courier New" w:hAnsi="Courier New"/>
                <w:color w:val="D4D4D4"/>
                <w:sz w:val="16"/>
                <w:szCs w:val="16"/>
              </w:rPr>
              <w:t xml:space="preserve">                       │          │  │  Titan / etc │   └─────────────────────────┘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  Invokes sub-agents &amp; MCPs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MCP GATEWAY                        │ │</w:t>
            </w:r>
          </w:p>
          <w:p>
            <w:pPr>
              <w:spacing w:before="20" w:after="20"/>
            </w:pPr>
            <w:r>
              <w:rPr>
                <w:rFonts w:ascii="Courier New" w:cs="Courier New" w:eastAsia="Courier New" w:hAnsi="Courier New"/>
                <w:color w:val="D4D4D4"/>
                <w:sz w:val="16"/>
                <w:szCs w:val="16"/>
              </w:rPr>
              <w:t xml:space="preserve">                       │          │  (Validates FT rights per tool invocation)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MCP SERVERS (ECS / Lambda)              │               │</w:t>
            </w:r>
          </w:p>
          <w:p>
            <w:pPr>
              <w:spacing w:before="20" w:after="20"/>
            </w:pPr>
            <w:r>
              <w:rPr>
                <w:rFonts w:ascii="Courier New" w:cs="Courier New" w:eastAsia="Courier New" w:hAnsi="Courier New"/>
                <w:color w:val="D4D4D4"/>
                <w:sz w:val="16"/>
                <w:szCs w:val="16"/>
              </w:rPr>
              <w:t xml:space="preserve">                       │    │  ┌──────────┐ ┌──────────┐ ┌─────────┐ │               │</w:t>
            </w:r>
          </w:p>
          <w:p>
            <w:pPr>
              <w:spacing w:before="20" w:after="20"/>
            </w:pPr>
            <w:r>
              <w:rPr>
                <w:rFonts w:ascii="Courier New" w:cs="Courier New" w:eastAsia="Courier New" w:hAnsi="Courier New"/>
                <w:color w:val="D4D4D4"/>
                <w:sz w:val="16"/>
                <w:szCs w:val="16"/>
              </w:rPr>
              <w:t xml:space="preserve">                       │    │  │Data MCP   │ │API MCP   │ │DB MCP   │ │               │</w:t>
            </w:r>
          </w:p>
          <w:p>
            <w:pPr>
              <w:spacing w:before="20" w:after="20"/>
            </w:pPr>
            <w:r>
              <w:rPr>
                <w:rFonts w:ascii="Courier New" w:cs="Courier New" w:eastAsia="Courier New" w:hAnsi="Courier New"/>
                <w:color w:val="D4D4D4"/>
                <w:sz w:val="16"/>
                <w:szCs w:val="16"/>
              </w:rPr>
              <w:t xml:space="preserve">                       │    │  │(S3/Athena)│ │(Internal │ │(RDS/    │ │               │</w:t>
            </w:r>
          </w:p>
          <w:p>
            <w:pPr>
              <w:spacing w:before="20" w:after="20"/>
            </w:pPr>
            <w:r>
              <w:rPr>
                <w:rFonts w:ascii="Courier New" w:cs="Courier New" w:eastAsia="Courier New" w:hAnsi="Courier New"/>
                <w:color w:val="D4D4D4"/>
                <w:sz w:val="16"/>
                <w:szCs w:val="16"/>
              </w:rPr>
              <w:t xml:space="preserve">                       │    │  │FT:DATA_RD │ │ APIs)    │ │DynamoDB)│ │               │</w:t>
            </w:r>
          </w:p>
          <w:p>
            <w:pPr>
              <w:spacing w:before="20" w:after="20"/>
            </w:pPr>
            <w:r>
              <w:rPr>
                <w:rFonts w:ascii="Courier New" w:cs="Courier New" w:eastAsia="Courier New" w:hAnsi="Courier New"/>
                <w:color w:val="D4D4D4"/>
                <w:sz w:val="16"/>
                <w:szCs w:val="16"/>
              </w:rPr>
              <w:t xml:space="preserve">                       │    │  └──────────┘ └──────────┘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OBSERVABILITY (Langfuse - self-hosted on ECS)        │  │</w:t>
            </w:r>
          </w:p>
          <w:p>
            <w:pPr>
              <w:spacing w:before="20" w:after="20"/>
            </w:pPr>
            <w:r>
              <w:rPr>
                <w:rFonts w:ascii="Courier New" w:cs="Courier New" w:eastAsia="Courier New" w:hAnsi="Courier New"/>
                <w:color w:val="D4D4D4"/>
                <w:sz w:val="16"/>
                <w:szCs w:val="16"/>
              </w:rPr>
              <w:t xml:space="preserve">                       │    │  Traces · Evals · LLM costs · Audit (FT context)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w:t>
            </w:r>
          </w:p>
        </w:tc>
      </w:tr>
    </w:tbl>
    <w:p>
      <w:pPr>
        <w:spacing w:before="80" w:after="80"/>
      </w:pPr>
      <w:r>
        <w:t xml:space="preserve"/>
      </w:r>
    </w:p>
    <w:p>
      <w:pPr>
        <w:pStyle w:val="Heading2"/>
      </w:pPr>
      <w:r>
        <w:rPr>
          <w:rFonts w:ascii="Arial" w:cs="Arial" w:eastAsia="Arial" w:hAnsi="Arial"/>
          <w:b/>
          <w:bCs/>
          <w:color w:val="2E75B6"/>
          <w:sz w:val="26"/>
          <w:szCs w:val="26"/>
        </w:rPr>
        <w:t xml:space="preserve">2.2 Core Architectural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Components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Responsibility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Layer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Components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Edge / CDN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CloudFront, WAF (OWASP ruleset)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TLS termination, DDoS protection, geo-restriction (EU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Presentation / BFF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ECS Fargate (Node.js/Java), ElastiCache Redis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Session mgmt, OIDC auth flow, token enrichment with FT rights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API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Amazon API GW (private) or Kong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JWT validation, routing, rate limiting, request logging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Agent Orchestration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Amazon Bedrock Agent Core Runtime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LLM orchestration, tool routing, multi-agent coordination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MCP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ECS Fargate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FT rights validation per tool call, audit trail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MCP Tool Servers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ECS / Lambda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Data access, internal API calls, DB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Identity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Internal AD / FT Service (on-prem/VPN)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AD groups and FT rights resolution (internal network)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Caching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ElastiCache Redis (cluster mode)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Session tokens, JWKS, FT rights per user (TTL-managed)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Context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Amazon DynamoDB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Conversation state, session attributes, FT context per session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Observability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(self-hosted ECS), CloudWatch, X-Ray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Agent traces, LLM metrics, audit logs, evals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Secrets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AWS Secrets Manager, AWS KMS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Keys, client secrets, signing keys, model API keys</w:t>
            </w:r>
          </w:p>
        </w:tc>
      </w:tr>
    </w:tbl>
    <w:p>
      <w:pPr>
        <w:spacing w:before="80" w:after="80"/>
      </w:pPr>
      <w:r>
        <w:t xml:space="preserve"/>
      </w:r>
    </w:p>
    <w:p>
      <w:pPr>
        <w:pStyle w:val="Heading2"/>
      </w:pPr>
      <w:r>
        <w:rPr>
          <w:rFonts w:ascii="Arial" w:cs="Arial" w:eastAsia="Arial" w:hAnsi="Arial"/>
          <w:b/>
          <w:bCs/>
          <w:color w:val="2E75B6"/>
          <w:sz w:val="26"/>
          <w:szCs w:val="26"/>
        </w:rPr>
        <w:t xml:space="preserve">2.3 Network Topology</w:t>
      </w:r>
    </w:p>
    <w:p>
      <w:pPr>
        <w:spacing w:before="80" w:after="80"/>
      </w:pPr>
      <w:r>
        <w:t xml:space="preserve"/>
      </w:r>
    </w:p>
    <w:p>
      <w:pPr>
        <w:spacing w:before="80" w:after="80"/>
      </w:pPr>
      <w:r>
        <w:rPr>
          <w:rFonts w:ascii="Arial" w:cs="Arial" w:eastAsia="Arial" w:hAnsi="Arial"/>
          <w:sz w:val="20"/>
          <w:szCs w:val="20"/>
        </w:rPr>
        <w:t xml:space="preserve">The entire platform operates within a dedicated AWS VPC in eu-west-1 with the following subnet strategy: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Subnet Tier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CIDR Example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Hosted Services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Subnet Tier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CIDR Example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Hosted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Public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10.0.0.0/24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ALB (internet-facing), CloudFront origins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Private App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10.0.10.0/22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BFF, API Gateway, Agent Core, MCP Gateway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Private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10.0.20.0/22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ElastiCache, DynamoDB (VPC endpoints), RDS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Private Tools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10.0.30.0/22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MCP Servers, Langfuse, Internal tooling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10.0.40.0/24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Bastion, CI/CD runners, monitoring</w:t>
            </w:r>
          </w:p>
        </w:tc>
      </w:tr>
    </w:tbl>
    <w:p>
      <w:pPr>
        <w:spacing w:before="80" w:after="80"/>
      </w:pPr>
      <w:r>
        <w:t xml:space="preserve"/>
      </w:r>
    </w:p>
    <w:p>
      <w:pPr>
        <w:spacing w:before="80" w:after="80"/>
      </w:pPr>
      <w:r>
        <w:rPr>
          <w:rFonts w:ascii="Arial" w:cs="Arial" w:eastAsia="Arial" w:hAnsi="Arial"/>
          <w:sz w:val="20"/>
          <w:szCs w:val="20"/>
        </w:rPr>
        <w:t xml:space="preserve">All traffic between AWS services (DynamoDB, S3, Bedrock, Secrets Manager) flows through VPC Endpoints, ensuring no data leaves the VPC over the internet. The only external network egress is the OIDC authentication redirect to ADFS/Entra ID during the login flow, and the periodic JWKS key refresh.</w:t>
      </w:r>
    </w:p>
    <w:p>
      <w:r>
        <w:br w:type="page"/>
      </w:r>
    </w:p>
    <w:p>
      <w:pPr>
        <w:pStyle w:val="Heading1"/>
      </w:pPr>
      <w:r>
        <w:rPr>
          <w:rFonts w:ascii="Arial" w:cs="Arial" w:eastAsia="Arial" w:hAnsi="Arial"/>
          <w:b/>
          <w:bCs/>
          <w:color w:val="1F4E79"/>
          <w:sz w:val="32"/>
          <w:szCs w:val="32"/>
        </w:rPr>
        <w:t xml:space="preserve">3. Authentication &amp; Authorisation Design</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3.1 Identity Architecture Overview</w:t>
      </w:r>
    </w:p>
    <w:p>
      <w:pPr>
        <w:spacing w:before="80" w:after="80"/>
      </w:pPr>
      <w:r>
        <w:t xml:space="preserve"/>
      </w:r>
    </w:p>
    <w:p>
      <w:pPr>
        <w:spacing w:before="80" w:after="80"/>
      </w:pPr>
      <w:r>
        <w:rPr>
          <w:rFonts w:ascii="Arial" w:cs="Arial" w:eastAsia="Arial" w:hAnsi="Arial"/>
          <w:sz w:val="20"/>
          <w:szCs w:val="20"/>
        </w:rPr>
        <w:t xml:space="preserve">The bank uses ADFS (Active Directory Federation Services) with Entra ID integration as the external identity provider. Two ADFS instances are in operation:</w:t>
      </w:r>
    </w:p>
    <w:p>
      <w:pPr>
        <w:pStyle w:val="ListParagraph"/>
        <w:numPr>
          <w:ilvl w:val="0"/>
          <w:numId w:val="2"/>
        </w:numPr>
        <w:spacing w:before="40" w:after="40"/>
      </w:pPr>
      <w:r>
        <w:rPr>
          <w:rFonts w:ascii="Arial" w:cs="Arial" w:eastAsia="Arial" w:hAnsi="Arial"/>
          <w:sz w:val="20"/>
          <w:szCs w:val="20"/>
        </w:rPr>
        <w:t xml:space="preserve">ADFS 2016: fs1.danskebank.com (legacy applications)</w:t>
      </w:r>
    </w:p>
    <w:p>
      <w:pPr>
        <w:pStyle w:val="ListParagraph"/>
        <w:numPr>
          <w:ilvl w:val="0"/>
          <w:numId w:val="2"/>
        </w:numPr>
        <w:spacing w:before="40" w:after="40"/>
      </w:pPr>
      <w:r>
        <w:rPr>
          <w:rFonts w:ascii="Arial" w:cs="Arial" w:eastAsia="Arial" w:hAnsi="Arial"/>
          <w:sz w:val="20"/>
          <w:szCs w:val="20"/>
        </w:rPr>
        <w:t xml:space="preserve">ADFS 2019: sts.danskebank.com (modern OIDC/OAuth2, preferred for new applications)</w:t>
      </w:r>
    </w:p>
    <w:p>
      <w:pPr>
        <w:spacing w:before="80" w:after="80"/>
      </w:pPr>
      <w:r>
        <w:t xml:space="preserve"/>
      </w:r>
    </w:p>
    <w:p>
      <w:pPr>
        <w:spacing w:before="80" w:after="80"/>
      </w:pPr>
      <w:r>
        <w:rPr>
          <w:rFonts w:ascii="Arial" w:cs="Arial" w:eastAsia="Arial" w:hAnsi="Arial"/>
          <w:sz w:val="20"/>
          <w:szCs w:val="20"/>
        </w:rPr>
        <w:t xml:space="preserve">All new platform components use ADFS 2019 (sts.danskebank.com) for OAuth2/OIDC flows. The ADFS token contains standard OIDC claims plus AD group memberships. FT rights are NOT in the ADFS token — they are resolved separately from an internal FT Service and injected by the BFF.</w:t>
      </w:r>
    </w:p>
    <w:p>
      <w:pPr>
        <w:spacing w:before="80" w:after="80"/>
      </w:pPr>
      <w:r>
        <w:t xml:space="preserve"/>
      </w:r>
    </w:p>
    <w:p>
      <w:pPr>
        <w:pStyle w:val="Heading2"/>
      </w:pPr>
      <w:r>
        <w:rPr>
          <w:rFonts w:ascii="Arial" w:cs="Arial" w:eastAsia="Arial" w:hAnsi="Arial"/>
          <w:b/>
          <w:bCs/>
          <w:color w:val="2E75B6"/>
          <w:sz w:val="26"/>
          <w:szCs w:val="26"/>
        </w:rPr>
        <w:t xml:space="preserve">3.2 User Authentication Flow — Natural Users (B-users / Advisors)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80"/>
              <w:bottom w:type="dxa" w:w="80"/>
              <w:right w:type="dxa" w:w="180"/>
            </w:tcMar>
          </w:tcPr>
          <w:p>
            <w:pPr>
              <w:spacing w:before="20" w:after="20"/>
            </w:pPr>
            <w:r>
              <w:rPr>
                <w:rFonts w:ascii="Courier New" w:cs="Courier New" w:eastAsia="Courier New" w:hAnsi="Courier New"/>
                <w:color w:val="D4D4D4"/>
                <w:sz w:val="16"/>
                <w:szCs w:val="16"/>
              </w:rPr>
              <w:t xml:space="preserve">  USER AUTHENTICATION &amp; TOKEN ENRICHMENT FLOW</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Browser          BFF              Redis Cache       ADFS (External)    FT Service</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GET /app        │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Check session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[MISS] No session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302 → ADFS      │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Auth Code Flow  │                   │  ◀── EXTERNAL ──▶│               │</w:t>
            </w:r>
          </w:p>
          <w:p>
            <w:pPr>
              <w:spacing w:before="20" w:after="20"/>
            </w:pPr>
            <w:r>
              <w:rPr>
                <w:rFonts w:ascii="Courier New" w:cs="Courier New" w:eastAsia="Courier New" w:hAnsi="Courier New"/>
                <w:color w:val="D4D4D4"/>
                <w:sz w:val="16"/>
                <w:szCs w:val="16"/>
              </w:rPr>
              <w:t xml:space="preserve">    │ (User logs in)  │                   │    CALL #1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code ─────────────────────────────────────────────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POST /callback?code=...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Exchange code for tokens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 access_token + id_token ────────── │               │</w:t>
            </w:r>
          </w:p>
          <w:p>
            <w:pPr>
              <w:spacing w:before="20" w:after="20"/>
            </w:pPr>
            <w:r>
              <w:rPr>
                <w:rFonts w:ascii="Courier New" w:cs="Courier New" w:eastAsia="Courier New" w:hAnsi="Courier New"/>
                <w:color w:val="D4D4D4"/>
                <w:sz w:val="16"/>
                <w:szCs w:val="16"/>
              </w:rPr>
              <w:t xml:space="preserve">    │                │   (contains AD groups as claims)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Fetch FT rights for user              │               │</w:t>
            </w:r>
          </w:p>
          <w:p>
            <w:pPr>
              <w:spacing w:before="20" w:after="20"/>
            </w:pPr>
            <w:r>
              <w:rPr>
                <w:rFonts w:ascii="Courier New" w:cs="Courier New" w:eastAsia="Courier New" w:hAnsi="Courier New"/>
                <w:color w:val="D4D4D4"/>
                <w:sz w:val="16"/>
                <w:szCs w:val="16"/>
              </w:rPr>
              <w:t xml:space="preserve">    │                │──────────────────────────────────────────────────────▶│</w:t>
            </w:r>
          </w:p>
          <w:p>
            <w:pPr>
              <w:spacing w:before="20" w:after="20"/>
            </w:pPr>
            <w:r>
              <w:rPr>
                <w:rFonts w:ascii="Courier New" w:cs="Courier New" w:eastAsia="Courier New" w:hAnsi="Courier New"/>
                <w:color w:val="D4D4D4"/>
                <w:sz w:val="16"/>
                <w:szCs w:val="16"/>
              </w:rPr>
              <w:t xml:space="preserve">    │                │ ◀── FT rights list {FT:DATA_RD, FT:CUST_VIEW, ...}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Build enriched context token         │               │</w:t>
            </w:r>
          </w:p>
          <w:p>
            <w:pPr>
              <w:spacing w:before="20" w:after="20"/>
            </w:pPr>
            <w:r>
              <w:rPr>
                <w:rFonts w:ascii="Courier New" w:cs="Courier New" w:eastAsia="Courier New" w:hAnsi="Courier New"/>
                <w:color w:val="D4D4D4"/>
                <w:sz w:val="16"/>
                <w:szCs w:val="16"/>
              </w:rPr>
              <w:t xml:space="preserve">    │                │ {sub, groups, ft_rights, exp, jti}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Cache session (TTL = token exp - 5m)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Set-Cookie: session_id (HttpOnly, Secure, SameSite=Strict)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SUBSEQUENT CALLS (NO ADFS contact)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GET /api/agent  │                   │                  │               │</w:t>
            </w:r>
          </w:p>
          <w:p>
            <w:pPr>
              <w:spacing w:before="20" w:after="20"/>
            </w:pPr>
            <w:r>
              <w:rPr>
                <w:rFonts w:ascii="Courier New" w:cs="Courier New" w:eastAsia="Courier New" w:hAnsi="Courier New"/>
                <w:color w:val="D4D4D4"/>
                <w:sz w:val="16"/>
                <w:szCs w:val="16"/>
              </w:rPr>
              <w:t xml:space="preserve">    │ Cookie: session_id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Lookup session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 enriched_ctx ──│                  │               │</w:t>
            </w:r>
          </w:p>
          <w:p>
            <w:pPr>
              <w:spacing w:before="20" w:after="20"/>
            </w:pPr>
            <w:r>
              <w:rPr>
                <w:rFonts w:ascii="Courier New" w:cs="Courier New" w:eastAsia="Courier New" w:hAnsi="Courier New"/>
                <w:color w:val="D4D4D4"/>
                <w:sz w:val="16"/>
                <w:szCs w:val="16"/>
              </w:rPr>
              <w:t xml:space="preserve">    │                │ Attach as X-Enriched-Context header  │               │</w:t>
            </w:r>
          </w:p>
          <w:p>
            <w:pPr>
              <w:spacing w:before="20" w:after="20"/>
            </w:pPr>
            <w:r>
              <w:rPr>
                <w:rFonts w:ascii="Courier New" w:cs="Courier New" w:eastAsia="Courier New" w:hAnsi="Courier New"/>
                <w:color w:val="D4D4D4"/>
                <w:sz w:val="16"/>
                <w:szCs w:val="16"/>
              </w:rPr>
              <w:t xml:space="preserve">    │                │ Forward to API Gateway               │               │</w:t>
            </w:r>
          </w:p>
          <w:p>
            <w:pPr>
              <w:spacing w:before="20" w:after="20"/>
            </w:pPr>
            <w:r>
              <w:rPr>
                <w:rFonts w:ascii="Courier New" w:cs="Courier New" w:eastAsia="Courier New" w:hAnsi="Courier New"/>
                <w:color w:val="D4D4D4"/>
                <w:sz w:val="16"/>
                <w:szCs w:val="16"/>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60" w:after="60"/>
            </w:pPr>
            <w:r>
              <w:rPr>
                <w:rFonts w:ascii="Arial" w:cs="Arial" w:eastAsia="Arial" w:hAnsi="Arial"/>
                <w:i/>
                <w:iCs/>
                <w:color w:val="404040"/>
                <w:sz w:val="18"/>
                <w:szCs w:val="18"/>
              </w:rPr>
              <w:t xml:space="preserve">CRITICAL DESIGN DECISION: The BFF caches the enriched session in Redis with a TTL equal to the ADFS token expiry minus 5 minutes. After initial login, zero calls are made to ADFS for session validation. Token refresh is handled silently using stored refresh tokens.</w:t>
            </w:r>
          </w:p>
        </w:tc>
      </w:tr>
    </w:tbl>
    <w:p>
      <w:pPr>
        <w:spacing w:before="80" w:after="80"/>
      </w:pPr>
      <w:r>
        <w:t xml:space="preserve"/>
      </w:r>
    </w:p>
    <w:p>
      <w:pPr>
        <w:pStyle w:val="Heading2"/>
      </w:pPr>
      <w:r>
        <w:rPr>
          <w:rFonts w:ascii="Arial" w:cs="Arial" w:eastAsia="Arial" w:hAnsi="Arial"/>
          <w:b/>
          <w:bCs/>
          <w:color w:val="2E75B6"/>
          <w:sz w:val="26"/>
          <w:szCs w:val="26"/>
        </w:rPr>
        <w:t xml:space="preserve">3.3 Service Account Authentication (System Tokens)</w:t>
      </w:r>
    </w:p>
    <w:p>
      <w:pPr>
        <w:spacing w:before="80" w:after="80"/>
      </w:pPr>
      <w:r>
        <w:t xml:space="preserve"/>
      </w:r>
    </w:p>
    <w:p>
      <w:pPr>
        <w:spacing w:before="80" w:after="80"/>
      </w:pPr>
      <w:r>
        <w:rPr>
          <w:rFonts w:ascii="Arial" w:cs="Arial" w:eastAsia="Arial" w:hAnsi="Arial"/>
          <w:sz w:val="20"/>
          <w:szCs w:val="20"/>
        </w:rPr>
        <w:t xml:space="preserve">For service-to-service calls and agent sub-components, the platform uses ADFS System Tokens (DanskeJWT). These are obtained once at service startup and cached:</w:t>
      </w:r>
    </w:p>
    <w:p>
      <w:pPr>
        <w:spacing w:before="80" w:after="80"/>
      </w:pPr>
      <w:r>
        <w:t xml:space="preserve"/>
      </w:r>
    </w:p>
    <w:p>
      <w:pPr>
        <w:pStyle w:val="ListParagraph"/>
        <w:numPr>
          <w:ilvl w:val="0"/>
          <w:numId w:val="3"/>
        </w:numPr>
        <w:spacing w:before="40" w:after="40"/>
      </w:pPr>
      <w:r>
        <w:rPr>
          <w:rFonts w:ascii="Arial" w:cs="Arial" w:eastAsia="Arial" w:hAnsi="Arial"/>
          <w:sz w:val="20"/>
          <w:szCs w:val="20"/>
        </w:rPr>
        <w:t xml:space="preserve">Service registers as ADFS client with ClientID and ClientSecret (stored in AWS Secrets Manager).</w:t>
      </w:r>
    </w:p>
    <w:p>
      <w:pPr>
        <w:pStyle w:val="ListParagraph"/>
        <w:numPr>
          <w:ilvl w:val="0"/>
          <w:numId w:val="3"/>
        </w:numPr>
        <w:spacing w:before="40" w:after="40"/>
      </w:pPr>
      <w:r>
        <w:rPr>
          <w:rFonts w:ascii="Arial" w:cs="Arial" w:eastAsia="Arial" w:hAnsi="Arial"/>
          <w:sz w:val="20"/>
          <w:szCs w:val="20"/>
        </w:rPr>
        <w:t xml:space="preserve">On startup, the service fetches a System Token via the client credentials flow from ADFS 2019.</w:t>
      </w:r>
    </w:p>
    <w:p>
      <w:pPr>
        <w:pStyle w:val="ListParagraph"/>
        <w:numPr>
          <w:ilvl w:val="0"/>
          <w:numId w:val="3"/>
        </w:numPr>
        <w:spacing w:before="40" w:after="40"/>
      </w:pPr>
      <w:r>
        <w:rPr>
          <w:rFonts w:ascii="Arial" w:cs="Arial" w:eastAsia="Arial" w:hAnsi="Arial"/>
          <w:sz w:val="20"/>
          <w:szCs w:val="20"/>
        </w:rPr>
        <w:t xml:space="preserve">Token is cached in-memory and refreshed 5 minutes before expiry.</w:t>
      </w:r>
    </w:p>
    <w:p>
      <w:pPr>
        <w:pStyle w:val="ListParagraph"/>
        <w:numPr>
          <w:ilvl w:val="0"/>
          <w:numId w:val="3"/>
        </w:numPr>
        <w:spacing w:before="40" w:after="40"/>
      </w:pPr>
      <w:r>
        <w:rPr>
          <w:rFonts w:ascii="Arial" w:cs="Arial" w:eastAsia="Arial" w:hAnsi="Arial"/>
          <w:sz w:val="20"/>
          <w:szCs w:val="20"/>
        </w:rPr>
        <w:t xml:space="preserve">For ADFS 2019, the resource name (Service Application in Cloud2/AD) must be parsed as a parameter.</w:t>
      </w:r>
    </w:p>
    <w:p>
      <w:pPr>
        <w:pStyle w:val="ListParagraph"/>
        <w:numPr>
          <w:ilvl w:val="0"/>
          <w:numId w:val="3"/>
        </w:numPr>
        <w:spacing w:before="40" w:after="40"/>
      </w:pPr>
      <w:r>
        <w:rPr>
          <w:rFonts w:ascii="Arial" w:cs="Arial" w:eastAsia="Arial" w:hAnsi="Arial"/>
          <w:sz w:val="20"/>
          <w:szCs w:val="20"/>
        </w:rPr>
        <w:t xml:space="preserve">Downstream services validate the System Token using the JWKS endpoint (also cached).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60" w:after="60"/>
            </w:pPr>
            <w:r>
              <w:rPr>
                <w:rFonts w:ascii="Arial" w:cs="Arial" w:eastAsia="Arial" w:hAnsi="Arial"/>
                <w:i/>
                <w:iCs/>
                <w:color w:val="404040"/>
                <w:sz w:val="18"/>
                <w:szCs w:val="18"/>
              </w:rPr>
              <w:t xml:space="preserve">Resource parsing for ADFS 2019: For sts.danskebank.com, the 'resource' parameter must be included in the token request. The resource name corresponds to the Service Application registered in Cloud2. Without this, a token is returned but AD group claims are absent.</w:t>
            </w:r>
          </w:p>
        </w:tc>
      </w:tr>
    </w:tbl>
    <w:p>
      <w:pPr>
        <w:spacing w:before="80" w:after="80"/>
      </w:pPr>
      <w:r>
        <w:t xml:space="preserve"/>
      </w:r>
    </w:p>
    <w:p>
      <w:pPr>
        <w:pStyle w:val="Heading2"/>
      </w:pPr>
      <w:r>
        <w:rPr>
          <w:rFonts w:ascii="Arial" w:cs="Arial" w:eastAsia="Arial" w:hAnsi="Arial"/>
          <w:b/>
          <w:bCs/>
          <w:color w:val="2E75B6"/>
          <w:sz w:val="26"/>
          <w:szCs w:val="26"/>
        </w:rPr>
        <w:t xml:space="preserve">3.4 JWKS Key Management — Minimising External Calls</w:t>
      </w:r>
    </w:p>
    <w:p>
      <w:pPr>
        <w:spacing w:before="80" w:after="80"/>
      </w:pPr>
      <w:r>
        <w:t xml:space="preserve"/>
      </w:r>
    </w:p>
    <w:p>
      <w:pPr>
        <w:spacing w:before="80" w:after="80"/>
      </w:pPr>
      <w:r>
        <w:rPr>
          <w:rFonts w:ascii="Arial" w:cs="Arial" w:eastAsia="Arial" w:hAnsi="Arial"/>
          <w:sz w:val="20"/>
          <w:szCs w:val="20"/>
        </w:rPr>
        <w:t xml:space="preserve">To eliminate per-request ADFS calls, the JWKS (JSON Web Key Set) is cached at multiple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Cache Location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TTL / Strategy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Cache Location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TTL / Strategy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BFF — Redis (hot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hours — refreshed by background job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 Gateway — in-memory (per pod)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 hour — refreshed on pod startup or cache miss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MCP Gateway — in-memory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hour — fallback to Redis on miss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Agent Core session attributes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 session — derived from BFF enriched token</w:t>
            </w:r>
          </w:p>
        </w:tc>
      </w:tr>
    </w:tbl>
    <w:p>
      <w:pPr>
        <w:spacing w:before="80" w:after="80"/>
      </w:pPr>
      <w:r>
        <w:t xml:space="preserve"/>
      </w:r>
    </w:p>
    <w:p>
      <w:pPr>
        <w:spacing w:before="80" w:after="80"/>
      </w:pPr>
      <w:r>
        <w:rPr>
          <w:rFonts w:ascii="Arial" w:cs="Arial" w:eastAsia="Arial" w:hAnsi="Arial"/>
          <w:sz w:val="20"/>
          <w:szCs w:val="20"/>
        </w:rPr>
        <w:t xml:space="preserve">If a JWT signature validation fails due to a key rotation (rare), the system performs a single on-demand JWKS refresh from ADFS and retries once. All JWKS refreshes are logged to CloudWatch.</w:t>
      </w:r>
    </w:p>
    <w:p>
      <w:r>
        <w:br w:type="page"/>
      </w:r>
    </w:p>
    <w:p>
      <w:pPr>
        <w:pStyle w:val="Heading1"/>
      </w:pPr>
      <w:r>
        <w:rPr>
          <w:rFonts w:ascii="Arial" w:cs="Arial" w:eastAsia="Arial" w:hAnsi="Arial"/>
          <w:b/>
          <w:bCs/>
          <w:color w:val="1F4E79"/>
          <w:sz w:val="32"/>
          <w:szCs w:val="32"/>
        </w:rPr>
        <w:t xml:space="preserve">4. FT Rights Embedding and Propagation</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4.1 What Are FT Rights?</w:t>
      </w:r>
    </w:p>
    <w:p>
      <w:pPr>
        <w:spacing w:before="80" w:after="80"/>
      </w:pPr>
      <w:r>
        <w:t xml:space="preserve"/>
      </w:r>
    </w:p>
    <w:p>
      <w:pPr>
        <w:spacing w:before="80" w:after="80"/>
      </w:pPr>
      <w:r>
        <w:rPr>
          <w:rFonts w:ascii="Arial" w:cs="Arial" w:eastAsia="Arial" w:hAnsi="Arial"/>
          <w:sz w:val="20"/>
          <w:szCs w:val="20"/>
        </w:rPr>
        <w:t xml:space="preserve">Feature/Functional Tenant (FT) rights are bank-specific access control primitives that wrap permissions to resources and operations. They sit above AD group membership and represent fine-grained business capability access. Examples include: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FT Right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FT Right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FT:CUST_VIEW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View customer profile and basic information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FT:PORTFOLIO_READ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Read investment portfolio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FT:TRADE_SUBMIT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 and modify trade orders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FT:REPORT_EXPORT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Export regulatory and management reports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FT:AGENT_INVOKE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Permission to invoke AI agents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FT:MCP_DATA_READ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Allow agents to read from Data MCP tools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FT:MCP_API_CALL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 agents to call internal API MCP tools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FT:SENSITIVE_DATA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Access to PII and sensitive customer data</w:t>
            </w:r>
          </w:p>
        </w:tc>
      </w:tr>
    </w:tbl>
    <w:p>
      <w:pPr>
        <w:spacing w:before="80" w:after="80"/>
      </w:pPr>
      <w:r>
        <w:t xml:space="preserve"/>
      </w:r>
    </w:p>
    <w:p>
      <w:pPr>
        <w:pStyle w:val="Heading2"/>
      </w:pPr>
      <w:r>
        <w:rPr>
          <w:rFonts w:ascii="Arial" w:cs="Arial" w:eastAsia="Arial" w:hAnsi="Arial"/>
          <w:b/>
          <w:bCs/>
          <w:color w:val="2E75B6"/>
          <w:sz w:val="26"/>
          <w:szCs w:val="26"/>
        </w:rPr>
        <w:t xml:space="preserve">4.2 Enriched JWT Token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80"/>
              <w:bottom w:type="dxa" w:w="80"/>
              <w:right w:type="dxa" w:w="180"/>
            </w:tcMar>
          </w:tcPr>
          <w:p>
            <w:pPr>
              <w:spacing w:before="20" w:after="20"/>
            </w:pPr>
            <w:r>
              <w:rPr>
                <w:rFonts w:ascii="Courier New" w:cs="Courier New" w:eastAsia="Courier New" w:hAnsi="Courier New"/>
                <w:color w:val="D4D4D4"/>
                <w:sz w:val="16"/>
                <w:szCs w:val="16"/>
              </w:rPr>
              <w:t xml:space="preserve">  ENRICHED CONTEXT TOKEN (JWT) STRUCTURE</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HEADER:</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"alg": "RS256",</w:t>
            </w:r>
          </w:p>
          <w:p>
            <w:pPr>
              <w:spacing w:before="20" w:after="20"/>
            </w:pPr>
            <w:r>
              <w:rPr>
                <w:rFonts w:ascii="Courier New" w:cs="Courier New" w:eastAsia="Courier New" w:hAnsi="Courier New"/>
                <w:color w:val="D4D4D4"/>
                <w:sz w:val="16"/>
                <w:szCs w:val="16"/>
              </w:rPr>
              <w:t xml:space="preserve">    "typ": "JWT",</w:t>
            </w:r>
          </w:p>
          <w:p>
            <w:pPr>
              <w:spacing w:before="20" w:after="20"/>
            </w:pPr>
            <w:r>
              <w:rPr>
                <w:rFonts w:ascii="Courier New" w:cs="Courier New" w:eastAsia="Courier New" w:hAnsi="Courier New"/>
                <w:color w:val="D4D4D4"/>
                <w:sz w:val="16"/>
                <w:szCs w:val="16"/>
              </w:rPr>
              <w:t xml:space="preserve">    "kid": "adfs-signing-key-2024"</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PAYLOAD (ADFS claims + enriched by BFF):</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"sub":       "CN=john.doe,OU=Advisors,DC=bank,DC=eu",</w:t>
            </w:r>
          </w:p>
          <w:p>
            <w:pPr>
              <w:spacing w:before="20" w:after="20"/>
            </w:pPr>
            <w:r>
              <w:rPr>
                <w:rFonts w:ascii="Courier New" w:cs="Courier New" w:eastAsia="Courier New" w:hAnsi="Courier New"/>
                <w:color w:val="D4D4D4"/>
                <w:sz w:val="16"/>
                <w:szCs w:val="16"/>
              </w:rPr>
              <w:t xml:space="preserve">    "upn":       "john.doe@bank.eu",</w:t>
            </w:r>
          </w:p>
          <w:p>
            <w:pPr>
              <w:spacing w:before="20" w:after="20"/>
            </w:pPr>
            <w:r>
              <w:rPr>
                <w:rFonts w:ascii="Courier New" w:cs="Courier New" w:eastAsia="Courier New" w:hAnsi="Courier New"/>
                <w:color w:val="D4D4D4"/>
                <w:sz w:val="16"/>
                <w:szCs w:val="16"/>
              </w:rPr>
              <w:t xml:space="preserve">    "groups":    ["GRP-ADVISORS", "GRP-TRADING-READ", "GRP-CUST-VIEW"],</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 FT rights injected by BFF (from internal FT service) ──</w:t>
            </w:r>
          </w:p>
          <w:p>
            <w:pPr>
              <w:spacing w:before="20" w:after="20"/>
            </w:pPr>
            <w:r>
              <w:rPr>
                <w:rFonts w:ascii="Courier New" w:cs="Courier New" w:eastAsia="Courier New" w:hAnsi="Courier New"/>
                <w:color w:val="D4D4D4"/>
                <w:sz w:val="16"/>
                <w:szCs w:val="16"/>
              </w:rPr>
              <w:t xml:space="preserve">    "ft_rights": [</w:t>
            </w:r>
          </w:p>
          <w:p>
            <w:pPr>
              <w:spacing w:before="20" w:after="20"/>
            </w:pPr>
            <w:r>
              <w:rPr>
                <w:rFonts w:ascii="Courier New" w:cs="Courier New" w:eastAsia="Courier New" w:hAnsi="Courier New"/>
                <w:color w:val="D4D4D4"/>
                <w:sz w:val="16"/>
                <w:szCs w:val="16"/>
              </w:rPr>
              <w:t xml:space="preserve">      "FT:CUST_VIEW",</w:t>
            </w:r>
          </w:p>
          <w:p>
            <w:pPr>
              <w:spacing w:before="20" w:after="20"/>
            </w:pPr>
            <w:r>
              <w:rPr>
                <w:rFonts w:ascii="Courier New" w:cs="Courier New" w:eastAsia="Courier New" w:hAnsi="Courier New"/>
                <w:color w:val="D4D4D4"/>
                <w:sz w:val="16"/>
                <w:szCs w:val="16"/>
              </w:rPr>
              <w:t xml:space="preserve">      "FT:PORTFOLIO_READ",</w:t>
            </w:r>
          </w:p>
          <w:p>
            <w:pPr>
              <w:spacing w:before="20" w:after="20"/>
            </w:pPr>
            <w:r>
              <w:rPr>
                <w:rFonts w:ascii="Courier New" w:cs="Courier New" w:eastAsia="Courier New" w:hAnsi="Courier New"/>
                <w:color w:val="D4D4D4"/>
                <w:sz w:val="16"/>
                <w:szCs w:val="16"/>
              </w:rPr>
              <w:t xml:space="preserve">      "FT:TRADE_SUBMIT",</w:t>
            </w:r>
          </w:p>
          <w:p>
            <w:pPr>
              <w:spacing w:before="20" w:after="20"/>
            </w:pPr>
            <w:r>
              <w:rPr>
                <w:rFonts w:ascii="Courier New" w:cs="Courier New" w:eastAsia="Courier New" w:hAnsi="Courier New"/>
                <w:color w:val="D4D4D4"/>
                <w:sz w:val="16"/>
                <w:szCs w:val="16"/>
              </w:rPr>
              <w:t xml:space="preserve">      "FT:REPORT_EXPORT"</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 Standard OIDC claims ──</w:t>
            </w:r>
          </w:p>
          <w:p>
            <w:pPr>
              <w:spacing w:before="20" w:after="20"/>
            </w:pPr>
            <w:r>
              <w:rPr>
                <w:rFonts w:ascii="Courier New" w:cs="Courier New" w:eastAsia="Courier New" w:hAnsi="Courier New"/>
                <w:color w:val="D4D4D4"/>
                <w:sz w:val="16"/>
                <w:szCs w:val="16"/>
              </w:rPr>
              <w:t xml:space="preserve">    "iss":  "https://sts.bank.eu/adfs",</w:t>
            </w:r>
          </w:p>
          <w:p>
            <w:pPr>
              <w:spacing w:before="20" w:after="20"/>
            </w:pPr>
            <w:r>
              <w:rPr>
                <w:rFonts w:ascii="Courier New" w:cs="Courier New" w:eastAsia="Courier New" w:hAnsi="Courier New"/>
                <w:color w:val="D4D4D4"/>
                <w:sz w:val="16"/>
                <w:szCs w:val="16"/>
              </w:rPr>
              <w:t xml:space="preserve">    "aud":  "urn:bank:agentic-platform",</w:t>
            </w:r>
          </w:p>
          <w:p>
            <w:pPr>
              <w:spacing w:before="20" w:after="20"/>
            </w:pPr>
            <w:r>
              <w:rPr>
                <w:rFonts w:ascii="Courier New" w:cs="Courier New" w:eastAsia="Courier New" w:hAnsi="Courier New"/>
                <w:color w:val="D4D4D4"/>
                <w:sz w:val="16"/>
                <w:szCs w:val="16"/>
              </w:rPr>
              <w:t xml:space="preserve">    "iat":  1700000000,</w:t>
            </w:r>
          </w:p>
          <w:p>
            <w:pPr>
              <w:spacing w:before="20" w:after="20"/>
            </w:pPr>
            <w:r>
              <w:rPr>
                <w:rFonts w:ascii="Courier New" w:cs="Courier New" w:eastAsia="Courier New" w:hAnsi="Courier New"/>
                <w:color w:val="D4D4D4"/>
                <w:sz w:val="16"/>
                <w:szCs w:val="16"/>
              </w:rPr>
              <w:t xml:space="preserve">    "exp":  1700003600,</w:t>
            </w:r>
          </w:p>
          <w:p>
            <w:pPr>
              <w:spacing w:before="20" w:after="20"/>
            </w:pPr>
            <w:r>
              <w:rPr>
                <w:rFonts w:ascii="Courier New" w:cs="Courier New" w:eastAsia="Courier New" w:hAnsi="Courier New"/>
                <w:color w:val="D4D4D4"/>
                <w:sz w:val="16"/>
                <w:szCs w:val="16"/>
              </w:rPr>
              <w:t xml:space="preserve">    "jti":  "a3f2c1d4-...",</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 BFF metadata ──</w:t>
            </w:r>
          </w:p>
          <w:p>
            <w:pPr>
              <w:spacing w:before="20" w:after="20"/>
            </w:pPr>
            <w:r>
              <w:rPr>
                <w:rFonts w:ascii="Courier New" w:cs="Courier New" w:eastAsia="Courier New" w:hAnsi="Courier New"/>
                <w:color w:val="D4D4D4"/>
                <w:sz w:val="16"/>
                <w:szCs w:val="16"/>
              </w:rPr>
              <w:t xml:space="preserve">    "enriched_at":  "2024-11-01T12:00:00Z",</w:t>
            </w:r>
          </w:p>
          <w:p>
            <w:pPr>
              <w:spacing w:before="20" w:after="20"/>
            </w:pPr>
            <w:r>
              <w:rPr>
                <w:rFonts w:ascii="Courier New" w:cs="Courier New" w:eastAsia="Courier New" w:hAnsi="Courier New"/>
                <w:color w:val="D4D4D4"/>
                <w:sz w:val="16"/>
                <w:szCs w:val="16"/>
              </w:rPr>
              <w:t xml:space="preserve">    "enriched_by":  "bff-v2.3.1",</w:t>
            </w:r>
          </w:p>
          <w:p>
            <w:pPr>
              <w:spacing w:before="20" w:after="20"/>
            </w:pPr>
            <w:r>
              <w:rPr>
                <w:rFonts w:ascii="Courier New" w:cs="Courier New" w:eastAsia="Courier New" w:hAnsi="Courier New"/>
                <w:color w:val="D4D4D4"/>
                <w:sz w:val="16"/>
                <w:szCs w:val="16"/>
              </w:rPr>
              <w:t xml:space="preserve">    "session_id":   "sess_abc123"</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NOTE: Token is signed with BFF private key (RS256).</w:t>
            </w:r>
          </w:p>
          <w:p>
            <w:pPr>
              <w:spacing w:before="20" w:after="20"/>
            </w:pPr>
            <w:r>
              <w:rPr>
                <w:rFonts w:ascii="Courier New" w:cs="Courier New" w:eastAsia="Courier New" w:hAnsi="Courier New"/>
                <w:color w:val="D4D4D4"/>
                <w:sz w:val="16"/>
                <w:szCs w:val="16"/>
              </w:rPr>
              <w:t xml:space="preserve">        Internal services validate against BFF JWKS endpoint.</w:t>
            </w:r>
          </w:p>
          <w:p>
            <w:pPr>
              <w:spacing w:before="20" w:after="20"/>
            </w:pPr>
            <w:r>
              <w:rPr>
                <w:rFonts w:ascii="Courier New" w:cs="Courier New" w:eastAsia="Courier New" w:hAnsi="Courier New"/>
                <w:color w:val="D4D4D4"/>
                <w:sz w:val="16"/>
                <w:szCs w:val="16"/>
              </w:rPr>
              <w:t xml:space="preserve">        ADFS JWKS cached locally — no external call per request.</w:t>
            </w:r>
          </w:p>
        </w:tc>
      </w:tr>
    </w:tbl>
    <w:p>
      <w:pPr>
        <w:spacing w:before="80" w:after="80"/>
      </w:pPr>
      <w:r>
        <w:t xml:space="preserve"/>
      </w:r>
    </w:p>
    <w:p>
      <w:pPr>
        <w:pStyle w:val="Heading2"/>
      </w:pPr>
      <w:r>
        <w:rPr>
          <w:rFonts w:ascii="Arial" w:cs="Arial" w:eastAsia="Arial" w:hAnsi="Arial"/>
          <w:b/>
          <w:bCs/>
          <w:color w:val="2E75B6"/>
          <w:sz w:val="26"/>
          <w:szCs w:val="26"/>
        </w:rPr>
        <w:t xml:space="preserve">4.3 FT Rights Propagation Through Agent Chain</w:t>
      </w:r>
    </w:p>
    <w:p>
      <w:pPr>
        <w:spacing w:before="80" w:after="80"/>
      </w:pPr>
      <w:r>
        <w:t xml:space="preserve"/>
      </w:r>
    </w:p>
    <w:p>
      <w:pPr>
        <w:spacing w:before="80" w:after="80"/>
      </w:pPr>
      <w:r>
        <w:rPr>
          <w:rFonts w:ascii="Arial" w:cs="Arial" w:eastAsia="Arial" w:hAnsi="Arial"/>
          <w:sz w:val="20"/>
          <w:szCs w:val="20"/>
        </w:rPr>
        <w:t xml:space="preserve">The enriched context token travels through the entire agent invocation chain: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80"/>
              <w:bottom w:type="dxa" w:w="80"/>
              <w:right w:type="dxa" w:w="180"/>
            </w:tcMar>
          </w:tcPr>
          <w:p>
            <w:pPr>
              <w:spacing w:before="20" w:after="20"/>
            </w:pPr>
            <w:r>
              <w:rPr>
                <w:rFonts w:ascii="Courier New" w:cs="Courier New" w:eastAsia="Courier New" w:hAnsi="Courier New"/>
                <w:color w:val="D4D4D4"/>
                <w:sz w:val="16"/>
                <w:szCs w:val="16"/>
              </w:rPr>
              <w:t xml:space="preserve">  AGENT INVOCATION &amp; FT RIGHTS ENFORCEMENT FLOW</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API Gateway     Agent Core (Bedrock)    MCP Gateway     MCP Server    FT Validator</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POST /agent/invoke│                   │               │               │</w:t>
            </w:r>
          </w:p>
          <w:p>
            <w:pPr>
              <w:spacing w:before="20" w:after="20"/>
            </w:pPr>
            <w:r>
              <w:rPr>
                <w:rFonts w:ascii="Courier New" w:cs="Courier New" w:eastAsia="Courier New" w:hAnsi="Courier New"/>
                <w:color w:val="D4D4D4"/>
                <w:sz w:val="16"/>
                <w:szCs w:val="16"/>
              </w:rPr>
              <w:t xml:space="preserve">      │ Headers:          │                   │               │               │</w:t>
            </w:r>
          </w:p>
          <w:p>
            <w:pPr>
              <w:spacing w:before="20" w:after="20"/>
            </w:pPr>
            <w:r>
              <w:rPr>
                <w:rFonts w:ascii="Courier New" w:cs="Courier New" w:eastAsia="Courier New" w:hAnsi="Courier New"/>
                <w:color w:val="D4D4D4"/>
                <w:sz w:val="16"/>
                <w:szCs w:val="16"/>
              </w:rPr>
              <w:t xml:space="preserve">      │  X-Enriched-Ctx   │                   │               │               │</w:t>
            </w:r>
          </w:p>
          <w:p>
            <w:pPr>
              <w:spacing w:before="20" w:after="20"/>
            </w:pPr>
            <w:r>
              <w:rPr>
                <w:rFonts w:ascii="Courier New" w:cs="Courier New" w:eastAsia="Courier New" w:hAnsi="Courier New"/>
                <w:color w:val="D4D4D4"/>
                <w:sz w:val="16"/>
                <w:szCs w:val="16"/>
              </w:rPr>
              <w:t xml:space="preserve">      │  Authorization: Bearer (JWT)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Validate JWT (local JWKS)          │               │</w:t>
            </w:r>
          </w:p>
          <w:p>
            <w:pPr>
              <w:spacing w:before="20" w:after="20"/>
            </w:pPr>
            <w:r>
              <w:rPr>
                <w:rFonts w:ascii="Courier New" w:cs="Courier New" w:eastAsia="Courier New" w:hAnsi="Courier New"/>
                <w:color w:val="D4D4D4"/>
                <w:sz w:val="16"/>
                <w:szCs w:val="16"/>
              </w:rPr>
              <w:t xml:space="preserve">      │                  │ Extract FT rights from context      │               │</w:t>
            </w:r>
          </w:p>
          <w:p>
            <w:pPr>
              <w:spacing w:before="20" w:after="20"/>
            </w:pPr>
            <w:r>
              <w:rPr>
                <w:rFonts w:ascii="Courier New" w:cs="Courier New" w:eastAsia="Courier New" w:hAnsi="Courier New"/>
                <w:color w:val="D4D4D4"/>
                <w:sz w:val="16"/>
                <w:szCs w:val="16"/>
              </w:rPr>
              <w:t xml:space="preserve">      │                  │ Store in session attributes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LLM Planning step │               │               │</w:t>
            </w:r>
          </w:p>
          <w:p>
            <w:pPr>
              <w:spacing w:before="20" w:after="20"/>
            </w:pPr>
            <w:r>
              <w:rPr>
                <w:rFonts w:ascii="Courier New" w:cs="Courier New" w:eastAsia="Courier New" w:hAnsi="Courier New"/>
                <w:color w:val="D4D4D4"/>
                <w:sz w:val="16"/>
                <w:szCs w:val="16"/>
              </w:rPr>
              <w:t xml:space="preserve">      │                  │ (Claude / Titan)  │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Tool call: fetch_customer_data     │               │</w:t>
            </w:r>
          </w:p>
          <w:p>
            <w:pPr>
              <w:spacing w:before="20" w:after="20"/>
            </w:pPr>
            <w:r>
              <w:rPr>
                <w:rFonts w:ascii="Courier New" w:cs="Courier New" w:eastAsia="Courier New" w:hAnsi="Courier New"/>
                <w:color w:val="D4D4D4"/>
                <w:sz w:val="16"/>
                <w:szCs w:val="16"/>
              </w:rPr>
              <w:t xml:space="preserve">      │                  │ Params + FT context attached       │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 Validate FT rights             │</w:t>
            </w:r>
          </w:p>
          <w:p>
            <w:pPr>
              <w:spacing w:before="20" w:after="20"/>
            </w:pPr>
            <w:r>
              <w:rPr>
                <w:rFonts w:ascii="Courier New" w:cs="Courier New" w:eastAsia="Courier New" w:hAnsi="Courier New"/>
                <w:color w:val="D4D4D4"/>
                <w:sz w:val="16"/>
                <w:szCs w:val="16"/>
              </w:rPr>
              <w:t xml:space="preserve">      │                  │                   │ Required: FT:CUST_VIEW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 ◀── ALLOW / DENY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 [ALLOW] Forward to MCP Server  │</w:t>
            </w:r>
          </w:p>
          <w:p>
            <w:pPr>
              <w:spacing w:before="20" w:after="20"/>
            </w:pPr>
            <w:r>
              <w:rPr>
                <w:rFonts w:ascii="Courier New" w:cs="Courier New" w:eastAsia="Courier New" w:hAnsi="Courier New"/>
                <w:color w:val="D4D4D4"/>
                <w:sz w:val="16"/>
                <w:szCs w:val="16"/>
              </w:rPr>
              <w:t xml:space="preserve">      │                  │                   │───────────────▶│               │</w:t>
            </w:r>
          </w:p>
          <w:p>
            <w:pPr>
              <w:spacing w:before="20" w:after="20"/>
            </w:pPr>
            <w:r>
              <w:rPr>
                <w:rFonts w:ascii="Courier New" w:cs="Courier New" w:eastAsia="Courier New" w:hAnsi="Courier New"/>
                <w:color w:val="D4D4D4"/>
                <w:sz w:val="16"/>
                <w:szCs w:val="16"/>
              </w:rPr>
              <w:t xml:space="preserve">      │                  │                   │ MCP executes with audit log     │</w:t>
            </w:r>
          </w:p>
          <w:p>
            <w:pPr>
              <w:spacing w:before="20" w:after="20"/>
            </w:pPr>
            <w:r>
              <w:rPr>
                <w:rFonts w:ascii="Courier New" w:cs="Courier New" w:eastAsia="Courier New" w:hAnsi="Courier New"/>
                <w:color w:val="D4D4D4"/>
                <w:sz w:val="16"/>
                <w:szCs w:val="16"/>
              </w:rPr>
              <w:t xml:space="preserve">      │                  │                   │ ◀── result ────│               │</w:t>
            </w:r>
          </w:p>
          <w:p>
            <w:pPr>
              <w:spacing w:before="20" w:after="20"/>
            </w:pPr>
            <w:r>
              <w:rPr>
                <w:rFonts w:ascii="Courier New" w:cs="Courier New" w:eastAsia="Courier New" w:hAnsi="Courier New"/>
                <w:color w:val="D4D4D4"/>
                <w:sz w:val="16"/>
                <w:szCs w:val="16"/>
              </w:rPr>
              <w:t xml:space="preserve">      │                  │ ◀── tool result ──│               │               │</w:t>
            </w:r>
          </w:p>
          <w:p>
            <w:pPr>
              <w:spacing w:before="20" w:after="20"/>
            </w:pPr>
            <w:r>
              <w:rPr>
                <w:rFonts w:ascii="Courier New" w:cs="Courier New" w:eastAsia="Courier New" w:hAnsi="Courier New"/>
                <w:color w:val="D4D4D4"/>
                <w:sz w:val="16"/>
                <w:szCs w:val="16"/>
              </w:rPr>
              <w:t xml:space="preserve">      │                  │                   │               │               │</w:t>
            </w:r>
          </w:p>
          <w:p>
            <w:pPr>
              <w:spacing w:before="20" w:after="20"/>
            </w:pPr>
            <w:r>
              <w:rPr>
                <w:rFonts w:ascii="Courier New" w:cs="Courier New" w:eastAsia="Courier New" w:hAnsi="Courier New"/>
                <w:color w:val="D4D4D4"/>
                <w:sz w:val="16"/>
                <w:szCs w:val="16"/>
              </w:rPr>
              <w:t xml:space="preserve">      │                  │ [DENY] Return 403 │               │               │</w:t>
            </w:r>
          </w:p>
          <w:p>
            <w:pPr>
              <w:spacing w:before="20" w:after="20"/>
            </w:pPr>
            <w:r>
              <w:rPr>
                <w:rFonts w:ascii="Courier New" w:cs="Courier New" w:eastAsia="Courier New" w:hAnsi="Courier New"/>
                <w:color w:val="D4D4D4"/>
                <w:sz w:val="16"/>
                <w:szCs w:val="16"/>
              </w:rPr>
              <w:t xml:space="preserve">      │                  │ Log to Langfuse    │               │               │</w:t>
            </w:r>
          </w:p>
          <w:p>
            <w:pPr>
              <w:spacing w:before="20" w:after="20"/>
            </w:pPr>
            <w:r>
              <w:rPr>
                <w:rFonts w:ascii="Courier New" w:cs="Courier New" w:eastAsia="Courier New" w:hAnsi="Courier New"/>
                <w:color w:val="D4D4D4"/>
                <w:sz w:val="16"/>
                <w:szCs w:val="16"/>
              </w:rPr>
              <w:t xml:space="preserve">      │ ◀── response ────│                   │               │               │</w:t>
            </w:r>
          </w:p>
          <w:p>
            <w:pPr>
              <w:spacing w:before="20" w:after="20"/>
            </w:pPr>
            <w:r>
              <w:rPr>
                <w:rFonts w:ascii="Courier New" w:cs="Courier New" w:eastAsia="Courier New" w:hAnsi="Courier New"/>
                <w:color w:val="D4D4D4"/>
                <w:sz w:val="16"/>
                <w:szCs w:val="16"/>
              </w:rPr>
              <w:t xml:space="preserve"/>
            </w:r>
          </w:p>
        </w:tc>
      </w:tr>
    </w:tbl>
    <w:p>
      <w:pPr>
        <w:spacing w:before="80" w:after="80"/>
      </w:pPr>
      <w:r>
        <w:t xml:space="preserve"/>
      </w:r>
    </w:p>
    <w:p>
      <w:pPr>
        <w:pStyle w:val="Heading2"/>
      </w:pPr>
      <w:r>
        <w:rPr>
          <w:rFonts w:ascii="Arial" w:cs="Arial" w:eastAsia="Arial" w:hAnsi="Arial"/>
          <w:b/>
          <w:bCs/>
          <w:color w:val="2E75B6"/>
          <w:sz w:val="26"/>
          <w:szCs w:val="26"/>
        </w:rPr>
        <w:t xml:space="preserve">4.4 FT Rights Validation Rules</w:t>
      </w:r>
    </w:p>
    <w:p>
      <w:pPr>
        <w:spacing w:before="80" w:after="80"/>
      </w:pPr>
      <w:r>
        <w:t xml:space="preserve"/>
      </w:r>
    </w:p>
    <w:p>
      <w:pPr>
        <w:spacing w:before="80" w:after="80"/>
      </w:pPr>
      <w:r>
        <w:rPr>
          <w:rFonts w:ascii="Arial" w:cs="Arial" w:eastAsia="Arial" w:hAnsi="Arial"/>
          <w:sz w:val="20"/>
          <w:szCs w:val="20"/>
        </w:rPr>
        <w:t xml:space="preserve">Each component enforces FT rights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Validation Performed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On Failure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Component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Validation Performed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On Failure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API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Validates JWT signature + FT:AGENT_INVOKE present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HTTP 403, no upstream call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Agent Core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Reads FT rights into session attributes, passes to all tool calls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Blocks tool call, returns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MCP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Per-tool FT requirement check before forwarding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HTTP 403 to Agent Core, logged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MCP Server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Optionally re-validates FT rights (defence-in-depth)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HTTP 403, alert raised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Langfuse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Logs FT context in trace metadata for audit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Audit only, not a blocker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60" w:after="60"/>
            </w:pPr>
            <w:r>
              <w:rPr>
                <w:rFonts w:ascii="Arial" w:cs="Arial" w:eastAsia="Arial" w:hAnsi="Arial"/>
                <w:i/>
                <w:iCs/>
                <w:color w:val="404040"/>
                <w:sz w:val="18"/>
                <w:szCs w:val="18"/>
              </w:rPr>
              <w:t xml:space="preserve">IMPORTANT: FT rights are embedded in the signed JWT. They cannot be tampered with in transit. Each MCP server trusts only tokens signed by the BFF's private key (RS256). The BFF private key is stored in AWS KMS and rotated quarterly.</w:t>
            </w:r>
          </w:p>
        </w:tc>
      </w:tr>
    </w:tbl>
    <w:p>
      <w:r>
        <w:br w:type="page"/>
      </w:r>
    </w:p>
    <w:p>
      <w:pPr>
        <w:pStyle w:val="Heading1"/>
      </w:pPr>
      <w:r>
        <w:rPr>
          <w:rFonts w:ascii="Arial" w:cs="Arial" w:eastAsia="Arial" w:hAnsi="Arial"/>
          <w:b/>
          <w:bCs/>
          <w:color w:val="1F4E79"/>
          <w:sz w:val="32"/>
          <w:szCs w:val="32"/>
        </w:rPr>
        <w:t xml:space="preserve">5. Agentic Platform Architecture</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5.1 Amazon Bedrock Agent Core Runtime</w:t>
      </w:r>
    </w:p>
    <w:p>
      <w:pPr>
        <w:spacing w:before="80" w:after="80"/>
      </w:pPr>
      <w:r>
        <w:t xml:space="preserve"/>
      </w:r>
    </w:p>
    <w:p>
      <w:pPr>
        <w:spacing w:before="80" w:after="80"/>
      </w:pPr>
      <w:r>
        <w:rPr>
          <w:rFonts w:ascii="Arial" w:cs="Arial" w:eastAsia="Arial" w:hAnsi="Arial"/>
          <w:sz w:val="20"/>
          <w:szCs w:val="20"/>
        </w:rPr>
        <w:t xml:space="preserve">The platform is built on Amazon Bedrock Agent Core Runtime, which provides:</w:t>
      </w:r>
    </w:p>
    <w:p>
      <w:pPr>
        <w:pStyle w:val="ListParagraph"/>
        <w:numPr>
          <w:ilvl w:val="0"/>
          <w:numId w:val="2"/>
        </w:numPr>
        <w:spacing w:before="40" w:after="40"/>
      </w:pPr>
      <w:r>
        <w:rPr>
          <w:rFonts w:ascii="Arial" w:cs="Arial" w:eastAsia="Arial" w:hAnsi="Arial"/>
          <w:sz w:val="20"/>
          <w:szCs w:val="20"/>
        </w:rPr>
        <w:t xml:space="preserve">Managed agent orchestration (ReAct, CoT, multi-step planning)</w:t>
      </w:r>
    </w:p>
    <w:p>
      <w:pPr>
        <w:pStyle w:val="ListParagraph"/>
        <w:numPr>
          <w:ilvl w:val="0"/>
          <w:numId w:val="2"/>
        </w:numPr>
        <w:spacing w:before="40" w:after="40"/>
      </w:pPr>
      <w:r>
        <w:rPr>
          <w:rFonts w:ascii="Arial" w:cs="Arial" w:eastAsia="Arial" w:hAnsi="Arial"/>
          <w:sz w:val="20"/>
          <w:szCs w:val="20"/>
        </w:rPr>
        <w:t xml:space="preserve">Built-in tool use and function calling across multiple LLM providers</w:t>
      </w:r>
    </w:p>
    <w:p>
      <w:pPr>
        <w:pStyle w:val="ListParagraph"/>
        <w:numPr>
          <w:ilvl w:val="0"/>
          <w:numId w:val="2"/>
        </w:numPr>
        <w:spacing w:before="40" w:after="40"/>
      </w:pPr>
      <w:r>
        <w:rPr>
          <w:rFonts w:ascii="Arial" w:cs="Arial" w:eastAsia="Arial" w:hAnsi="Arial"/>
          <w:sz w:val="20"/>
          <w:szCs w:val="20"/>
        </w:rPr>
        <w:t xml:space="preserve">Multi-agent coordination with supervisor-worker pattern</w:t>
      </w:r>
    </w:p>
    <w:p>
      <w:pPr>
        <w:pStyle w:val="ListParagraph"/>
        <w:numPr>
          <w:ilvl w:val="0"/>
          <w:numId w:val="2"/>
        </w:numPr>
        <w:spacing w:before="40" w:after="40"/>
      </w:pPr>
      <w:r>
        <w:rPr>
          <w:rFonts w:ascii="Arial" w:cs="Arial" w:eastAsia="Arial" w:hAnsi="Arial"/>
          <w:sz w:val="20"/>
          <w:szCs w:val="20"/>
        </w:rPr>
        <w:t xml:space="preserve">Native integration with AWS services (S3, Lambda, DynamoDB, OpenSearch)</w:t>
      </w:r>
    </w:p>
    <w:p>
      <w:pPr>
        <w:pStyle w:val="ListParagraph"/>
        <w:numPr>
          <w:ilvl w:val="0"/>
          <w:numId w:val="2"/>
        </w:numPr>
        <w:spacing w:before="40" w:after="40"/>
      </w:pPr>
      <w:r>
        <w:rPr>
          <w:rFonts w:ascii="Arial" w:cs="Arial" w:eastAsia="Arial" w:hAnsi="Arial"/>
          <w:sz w:val="20"/>
          <w:szCs w:val="20"/>
        </w:rPr>
        <w:t xml:space="preserve">Guardrails for content moderation and PII detection</w:t>
      </w:r>
    </w:p>
    <w:p>
      <w:pPr>
        <w:pStyle w:val="ListParagraph"/>
        <w:numPr>
          <w:ilvl w:val="0"/>
          <w:numId w:val="2"/>
        </w:numPr>
        <w:spacing w:before="40" w:after="40"/>
      </w:pPr>
      <w:r>
        <w:rPr>
          <w:rFonts w:ascii="Arial" w:cs="Arial" w:eastAsia="Arial" w:hAnsi="Arial"/>
          <w:sz w:val="20"/>
          <w:szCs w:val="20"/>
        </w:rPr>
        <w:t xml:space="preserve">Conversation memory management</w:t>
      </w:r>
    </w:p>
    <w:p>
      <w:pPr>
        <w:spacing w:before="80" w:after="80"/>
      </w:pPr>
      <w:r>
        <w:t xml:space="preserve"/>
      </w:r>
    </w:p>
    <w:p>
      <w:pPr>
        <w:pStyle w:val="Heading2"/>
      </w:pPr>
      <w:r>
        <w:rPr>
          <w:rFonts w:ascii="Arial" w:cs="Arial" w:eastAsia="Arial" w:hAnsi="Arial"/>
          <w:b/>
          <w:bCs/>
          <w:color w:val="2E75B6"/>
          <w:sz w:val="26"/>
          <w:szCs w:val="26"/>
        </w:rPr>
        <w:t xml:space="preserve">5.2 Multi-Agent Architecture (Platform of Platforms)</w:t>
      </w:r>
    </w:p>
    <w:p>
      <w:pPr>
        <w:spacing w:before="80" w:after="80"/>
      </w:pPr>
      <w:r>
        <w:t xml:space="preserve"/>
      </w:r>
    </w:p>
    <w:p>
      <w:pPr>
        <w:spacing w:before="80" w:after="80"/>
      </w:pPr>
      <w:r>
        <w:rPr>
          <w:rFonts w:ascii="Arial" w:cs="Arial" w:eastAsia="Arial" w:hAnsi="Arial"/>
          <w:sz w:val="20"/>
          <w:szCs w:val="20"/>
        </w:rPr>
        <w:t xml:space="preserve">The agentic platform is designed as a hierarchical multi-agent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80"/>
              <w:bottom w:type="dxa" w:w="80"/>
              <w:right w:type="dxa" w:w="180"/>
            </w:tcMar>
          </w:tcPr>
          <w:p>
            <w:pPr>
              <w:spacing w:before="20" w:after="20"/>
            </w:pPr>
            <w:r>
              <w:rPr>
                <w:rFonts w:ascii="Courier New" w:cs="Courier New" w:eastAsia="Courier New" w:hAnsi="Courier New"/>
                <w:color w:val="D4D4D4"/>
                <w:sz w:val="16"/>
                <w:szCs w:val="16"/>
              </w:rPr>
              <w:t xml:space="preserve">  AGENT HIERARCHY</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           SUPERVISOR AGENT (L1)                  │</w:t>
            </w:r>
          </w:p>
          <w:p>
            <w:pPr>
              <w:spacing w:before="20" w:after="20"/>
            </w:pPr>
            <w:r>
              <w:rPr>
                <w:rFonts w:ascii="Courier New" w:cs="Courier New" w:eastAsia="Courier New" w:hAnsi="Courier New"/>
                <w:color w:val="D4D4D4"/>
                <w:sz w:val="16"/>
                <w:szCs w:val="16"/>
              </w:rPr>
              <w:t xml:space="preserve">  │  · Receives user intent from API Gateway         │</w:t>
            </w:r>
          </w:p>
          <w:p>
            <w:pPr>
              <w:spacing w:before="20" w:after="20"/>
            </w:pPr>
            <w:r>
              <w:rPr>
                <w:rFonts w:ascii="Courier New" w:cs="Courier New" w:eastAsia="Courier New" w:hAnsi="Courier New"/>
                <w:color w:val="D4D4D4"/>
                <w:sz w:val="16"/>
                <w:szCs w:val="16"/>
              </w:rPr>
              <w:t xml:space="preserve">  │  · Decomposes task into sub-agent calls          │</w:t>
            </w:r>
          </w:p>
          <w:p>
            <w:pPr>
              <w:spacing w:before="20" w:after="20"/>
            </w:pPr>
            <w:r>
              <w:rPr>
                <w:rFonts w:ascii="Courier New" w:cs="Courier New" w:eastAsia="Courier New" w:hAnsi="Courier New"/>
                <w:color w:val="D4D4D4"/>
                <w:sz w:val="16"/>
                <w:szCs w:val="16"/>
              </w:rPr>
              <w:t xml:space="preserve">  │  · Enforces FT rights before delegation          │</w:t>
            </w:r>
          </w:p>
          <w:p>
            <w:pPr>
              <w:spacing w:before="20" w:after="20"/>
            </w:pPr>
            <w:r>
              <w:rPr>
                <w:rFonts w:ascii="Courier New" w:cs="Courier New" w:eastAsia="Courier New" w:hAnsi="Courier New"/>
                <w:color w:val="D4D4D4"/>
                <w:sz w:val="16"/>
                <w:szCs w:val="16"/>
              </w:rPr>
              <w:t xml:space="preserve">  │  · Aggregates results and generates final output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 Delegates to</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Customer      │ │ Portfolio│ │ Compliance    │</w:t>
            </w:r>
          </w:p>
          <w:p>
            <w:pPr>
              <w:spacing w:before="20" w:after="20"/>
            </w:pPr>
            <w:r>
              <w:rPr>
                <w:rFonts w:ascii="Courier New" w:cs="Courier New" w:eastAsia="Courier New" w:hAnsi="Courier New"/>
                <w:color w:val="D4D4D4"/>
                <w:sz w:val="16"/>
                <w:szCs w:val="16"/>
              </w:rPr>
              <w:t xml:space="preserve">  │ Agent (L2)    │ │ Agent L2 │ │ Agent (L2)    │</w:t>
            </w:r>
          </w:p>
          <w:p>
            <w:pPr>
              <w:spacing w:before="20" w:after="20"/>
            </w:pPr>
            <w:r>
              <w:rPr>
                <w:rFonts w:ascii="Courier New" w:cs="Courier New" w:eastAsia="Courier New" w:hAnsi="Courier New"/>
                <w:color w:val="D4D4D4"/>
                <w:sz w:val="16"/>
                <w:szCs w:val="16"/>
              </w:rPr>
              <w:t xml:space="preserve">  │ FT:CUST_VIEW  │ │ FT:PORT  │ │ FT:REPORT_EXP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              MCP GATEWAY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              ▼              ▼</w:t>
            </w:r>
          </w:p>
          <w:p>
            <w:pPr>
              <w:spacing w:before="20" w:after="20"/>
            </w:pPr>
            <w:r>
              <w:rPr>
                <w:rFonts w:ascii="Courier New" w:cs="Courier New" w:eastAsia="Courier New" w:hAnsi="Courier New"/>
                <w:color w:val="D4D4D4"/>
                <w:sz w:val="16"/>
                <w:szCs w:val="16"/>
              </w:rPr>
              <w:t xml:space="preserve">  [Data MCP]      [API MCP]     [DB MCP]</w:t>
            </w:r>
          </w:p>
          <w:p>
            <w:pPr>
              <w:spacing w:before="20" w:after="20"/>
            </w:pPr>
            <w:r>
              <w:rPr>
                <w:rFonts w:ascii="Courier New" w:cs="Courier New" w:eastAsia="Courier New" w:hAnsi="Courier New"/>
                <w:color w:val="D4D4D4"/>
                <w:sz w:val="16"/>
                <w:szCs w:val="16"/>
              </w:rPr>
              <w:t xml:space="preserve">  S3, Athena      Int. APIs     RDS, DynamoDB</w:t>
            </w:r>
          </w:p>
        </w:tc>
      </w:tr>
    </w:tbl>
    <w:p>
      <w:pPr>
        <w:spacing w:before="80" w:after="80"/>
      </w:pPr>
      <w:r>
        <w:t xml:space="preserve"/>
      </w:r>
    </w:p>
    <w:p>
      <w:pPr>
        <w:pStyle w:val="Heading2"/>
      </w:pPr>
      <w:r>
        <w:rPr>
          <w:rFonts w:ascii="Arial" w:cs="Arial" w:eastAsia="Arial" w:hAnsi="Arial"/>
          <w:b/>
          <w:bCs/>
          <w:color w:val="2E75B6"/>
          <w:sz w:val="26"/>
          <w:szCs w:val="26"/>
        </w:rPr>
        <w:t xml:space="preserve">5.3 Agent Configuration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Parameter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Configuration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Provider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Amazon Bedrock (Claude 3.5 Sonnet / Titan)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Max Steps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15 (configurable per agent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 Timeout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seconds per MCP tool call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Session TTL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30 minutes (aligned with UI session)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Context Window 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Sliding window + summary compression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Guardrails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PII detection, content moderation, topic restriction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Short-term: DynamoDB session; Long-term: OpenSearch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Parallelism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Sub-agents run in parallel where dependencies allow</w:t>
            </w:r>
          </w:p>
        </w:tc>
      </w:tr>
    </w:tbl>
    <w:p>
      <w:pPr>
        <w:spacing w:before="80" w:after="80"/>
      </w:pPr>
      <w:r>
        <w:t xml:space="preserve"/>
      </w:r>
    </w:p>
    <w:p>
      <w:pPr>
        <w:pStyle w:val="Heading2"/>
      </w:pPr>
      <w:r>
        <w:rPr>
          <w:rFonts w:ascii="Arial" w:cs="Arial" w:eastAsia="Arial" w:hAnsi="Arial"/>
          <w:b/>
          <w:bCs/>
          <w:color w:val="2E75B6"/>
          <w:sz w:val="26"/>
          <w:szCs w:val="26"/>
        </w:rPr>
        <w:t xml:space="preserve">5.4 Agent Security Model</w:t>
      </w:r>
    </w:p>
    <w:p>
      <w:pPr>
        <w:spacing w:before="80" w:after="80"/>
      </w:pPr>
      <w:r>
        <w:t xml:space="preserve"/>
      </w:r>
    </w:p>
    <w:p>
      <w:pPr>
        <w:spacing w:before="80" w:after="80"/>
      </w:pPr>
      <w:r>
        <w:rPr>
          <w:rFonts w:ascii="Arial" w:cs="Arial" w:eastAsia="Arial" w:hAnsi="Arial"/>
          <w:sz w:val="20"/>
          <w:szCs w:val="20"/>
        </w:rPr>
        <w:t xml:space="preserve">Each agent invocation carries the enriched FT context from the originating user. Agents cannot escalate privileges — they can only invoke MCP tools for which the user has the corresponding FT right. This ensures that:</w:t>
      </w:r>
    </w:p>
    <w:p>
      <w:pPr>
        <w:pStyle w:val="ListParagraph"/>
        <w:numPr>
          <w:ilvl w:val="0"/>
          <w:numId w:val="2"/>
        </w:numPr>
        <w:spacing w:before="40" w:after="40"/>
      </w:pPr>
      <w:r>
        <w:rPr>
          <w:rFonts w:ascii="Arial" w:cs="Arial" w:eastAsia="Arial" w:hAnsi="Arial"/>
          <w:sz w:val="20"/>
          <w:szCs w:val="20"/>
        </w:rPr>
        <w:t xml:space="preserve">An agent acting on behalf of user A cannot access data that user A is not permitted to access.</w:t>
      </w:r>
    </w:p>
    <w:p>
      <w:pPr>
        <w:pStyle w:val="ListParagraph"/>
        <w:numPr>
          <w:ilvl w:val="0"/>
          <w:numId w:val="2"/>
        </w:numPr>
        <w:spacing w:before="40" w:after="40"/>
      </w:pPr>
      <w:r>
        <w:rPr>
          <w:rFonts w:ascii="Arial" w:cs="Arial" w:eastAsia="Arial" w:hAnsi="Arial"/>
          <w:sz w:val="20"/>
          <w:szCs w:val="20"/>
        </w:rPr>
        <w:t xml:space="preserve">Service-to-service agent calls include the delegated user context (not just the service system token).</w:t>
      </w:r>
    </w:p>
    <w:p>
      <w:pPr>
        <w:pStyle w:val="ListParagraph"/>
        <w:numPr>
          <w:ilvl w:val="0"/>
          <w:numId w:val="2"/>
        </w:numPr>
        <w:spacing w:before="40" w:after="40"/>
      </w:pPr>
      <w:r>
        <w:rPr>
          <w:rFonts w:ascii="Arial" w:cs="Arial" w:eastAsia="Arial" w:hAnsi="Arial"/>
          <w:sz w:val="20"/>
          <w:szCs w:val="20"/>
        </w:rPr>
        <w:t xml:space="preserve">Agent tool call history is logged with the user's FT context for full audit trail.</w:t>
      </w:r>
    </w:p>
    <w:p>
      <w:r>
        <w:br w:type="page"/>
      </w:r>
    </w:p>
    <w:p>
      <w:pPr>
        <w:pStyle w:val="Heading1"/>
      </w:pPr>
      <w:r>
        <w:rPr>
          <w:rFonts w:ascii="Arial" w:cs="Arial" w:eastAsia="Arial" w:hAnsi="Arial"/>
          <w:b/>
          <w:bCs/>
          <w:color w:val="1F4E79"/>
          <w:sz w:val="32"/>
          <w:szCs w:val="32"/>
        </w:rPr>
        <w:t xml:space="preserve">6. MCP (Model Context Protocol) Integration</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6.1 MCP Architecture</w:t>
      </w:r>
    </w:p>
    <w:p>
      <w:pPr>
        <w:spacing w:before="80" w:after="80"/>
      </w:pPr>
      <w:r>
        <w:t xml:space="preserve"/>
      </w:r>
    </w:p>
    <w:p>
      <w:pPr>
        <w:spacing w:before="80" w:after="80"/>
      </w:pPr>
      <w:r>
        <w:rPr>
          <w:rFonts w:ascii="Arial" w:cs="Arial" w:eastAsia="Arial" w:hAnsi="Arial"/>
          <w:sz w:val="20"/>
          <w:szCs w:val="20"/>
        </w:rPr>
        <w:t xml:space="preserve">Model Context Protocol servers provide typed, structured tool interfaces for agents. All MCP servers are deployed as ECS Fargate services or Lambda functions within the private VPC subnets. No MCP server is accessible from outside the VPC.</w:t>
      </w:r>
    </w:p>
    <w:p>
      <w:pPr>
        <w:spacing w:before="80" w:after="80"/>
      </w:pPr>
      <w:r>
        <w:t xml:space="preserve"/>
      </w:r>
    </w:p>
    <w:p>
      <w:pPr>
        <w:pStyle w:val="Heading2"/>
      </w:pPr>
      <w:r>
        <w:rPr>
          <w:rFonts w:ascii="Arial" w:cs="Arial" w:eastAsia="Arial" w:hAnsi="Arial"/>
          <w:b/>
          <w:bCs/>
          <w:color w:val="2E75B6"/>
          <w:sz w:val="26"/>
          <w:szCs w:val="26"/>
        </w:rPr>
        <w:t xml:space="preserve">6.2 MCP Server Catalogue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MCP Server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Required FT Rights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Data Sources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MCP Server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Required FT Rights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Data 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customer-mcp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FT:CUST_VIEW, FT:SENSITIVE_DATA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CRM (RDS Aurora), Customer API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portfolio-mcp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FT:PORTFOLIO_READ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Portfolio DB, Market Data Feed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trade-mcp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FT:TRADE_SUBMIT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Order Management System (OMS)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report-mcp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FT:REPORT_EXPORT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Data Warehouse (Redshift), S3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document-mcp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FT:MCP_DATA_READ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S3 (document store), Textract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internal-api-mcp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FT:MCP_API_CALL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Internal REST/SOAP APIs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search-mcp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FT:MCP_DATA_READ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OpenSearch (knowledge base)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notification-mcp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FT:AGENT_INVOKE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SNS, SES, internal messaging</w:t>
            </w:r>
          </w:p>
        </w:tc>
      </w:tr>
    </w:tbl>
    <w:p>
      <w:pPr>
        <w:spacing w:before="80" w:after="80"/>
      </w:pPr>
      <w:r>
        <w:t xml:space="preserve"/>
      </w:r>
    </w:p>
    <w:p>
      <w:pPr>
        <w:pStyle w:val="Heading2"/>
      </w:pPr>
      <w:r>
        <w:rPr>
          <w:rFonts w:ascii="Arial" w:cs="Arial" w:eastAsia="Arial" w:hAnsi="Arial"/>
          <w:b/>
          <w:bCs/>
          <w:color w:val="2E75B6"/>
          <w:sz w:val="26"/>
          <w:szCs w:val="26"/>
        </w:rPr>
        <w:t xml:space="preserve">6.3 MCP Tool Definition with FT Rights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80"/>
              <w:bottom w:type="dxa" w:w="80"/>
              <w:right w:type="dxa" w:w="180"/>
            </w:tcMar>
          </w:tcPr>
          <w:p>
            <w:pPr>
              <w:spacing w:before="20" w:after="20"/>
            </w:pPr>
            <w:r>
              <w:rPr>
                <w:rFonts w:ascii="Courier New" w:cs="Courier New" w:eastAsia="Courier New" w:hAnsi="Courier New"/>
                <w:color w:val="D4D4D4"/>
                <w:sz w:val="16"/>
                <w:szCs w:val="16"/>
              </w:rPr>
              <w:t xml:space="preserve">  // MCP tool definition with embedded FT requirements</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"name": "get_customer_portfolio",</w:t>
            </w:r>
          </w:p>
          <w:p>
            <w:pPr>
              <w:spacing w:before="20" w:after="20"/>
            </w:pPr>
            <w:r>
              <w:rPr>
                <w:rFonts w:ascii="Courier New" w:cs="Courier New" w:eastAsia="Courier New" w:hAnsi="Courier New"/>
                <w:color w:val="D4D4D4"/>
                <w:sz w:val="16"/>
                <w:szCs w:val="16"/>
              </w:rPr>
              <w:t xml:space="preserve">    "description": "Retrieve investment portfolio for a customer",</w:t>
            </w:r>
          </w:p>
          <w:p>
            <w:pPr>
              <w:spacing w:before="20" w:after="20"/>
            </w:pPr>
            <w:r>
              <w:rPr>
                <w:rFonts w:ascii="Courier New" w:cs="Courier New" w:eastAsia="Courier New" w:hAnsi="Courier New"/>
                <w:color w:val="D4D4D4"/>
                <w:sz w:val="16"/>
                <w:szCs w:val="16"/>
              </w:rPr>
              <w:t xml:space="preserve">    "ft_required": ["FT:CUST_VIEW", "FT:PORTFOLIO_READ"],</w:t>
            </w:r>
          </w:p>
          <w:p>
            <w:pPr>
              <w:spacing w:before="20" w:after="20"/>
            </w:pPr>
            <w:r>
              <w:rPr>
                <w:rFonts w:ascii="Courier New" w:cs="Courier New" w:eastAsia="Courier New" w:hAnsi="Courier New"/>
                <w:color w:val="D4D4D4"/>
                <w:sz w:val="16"/>
                <w:szCs w:val="16"/>
              </w:rPr>
              <w:t xml:space="preserve">    "ft_any_of":   false,  // must have ALL listed FTs</w:t>
            </w:r>
          </w:p>
          <w:p>
            <w:pPr>
              <w:spacing w:before="20" w:after="20"/>
            </w:pPr>
            <w:r>
              <w:rPr>
                <w:rFonts w:ascii="Courier New" w:cs="Courier New" w:eastAsia="Courier New" w:hAnsi="Courier New"/>
                <w:color w:val="D4D4D4"/>
                <w:sz w:val="16"/>
                <w:szCs w:val="16"/>
              </w:rPr>
              <w:t xml:space="preserve">    "input_schema": {</w:t>
            </w:r>
          </w:p>
          <w:p>
            <w:pPr>
              <w:spacing w:before="20" w:after="20"/>
            </w:pPr>
            <w:r>
              <w:rPr>
                <w:rFonts w:ascii="Courier New" w:cs="Courier New" w:eastAsia="Courier New" w:hAnsi="Courier New"/>
                <w:color w:val="D4D4D4"/>
                <w:sz w:val="16"/>
                <w:szCs w:val="16"/>
              </w:rPr>
              <w:t xml:space="preserve">      "customer_id": { "type": "string", "required": true },</w:t>
            </w:r>
          </w:p>
          <w:p>
            <w:pPr>
              <w:spacing w:before="20" w:after="20"/>
            </w:pPr>
            <w:r>
              <w:rPr>
                <w:rFonts w:ascii="Courier New" w:cs="Courier New" w:eastAsia="Courier New" w:hAnsi="Courier New"/>
                <w:color w:val="D4D4D4"/>
                <w:sz w:val="16"/>
                <w:szCs w:val="16"/>
              </w:rPr>
              <w:t xml:space="preserve">      "as_of_date":  { "type": "string", "format": "date"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"audit_level": "HIGH",  // always logged with user context</w:t>
            </w:r>
          </w:p>
          <w:p>
            <w:pPr>
              <w:spacing w:before="20" w:after="20"/>
            </w:pPr>
            <w:r>
              <w:rPr>
                <w:rFonts w:ascii="Courier New" w:cs="Courier New" w:eastAsia="Courier New" w:hAnsi="Courier New"/>
                <w:color w:val="D4D4D4"/>
                <w:sz w:val="16"/>
                <w:szCs w:val="16"/>
              </w:rPr>
              <w:t xml:space="preserve">    "pii_fields":  ["customer_name", "account_number"]</w:t>
            </w:r>
          </w:p>
          <w:p>
            <w:pPr>
              <w:spacing w:before="20" w:after="20"/>
            </w:pPr>
            <w:r>
              <w:rPr>
                <w:rFonts w:ascii="Courier New" w:cs="Courier New" w:eastAsia="Courier New" w:hAnsi="Courier New"/>
                <w:color w:val="D4D4D4"/>
                <w:sz w:val="16"/>
                <w:szCs w:val="16"/>
              </w:rPr>
              <w:t xml:space="preserve">  }</w:t>
            </w:r>
          </w:p>
        </w:tc>
      </w:tr>
    </w:tbl>
    <w:p>
      <w:pPr>
        <w:spacing w:before="80" w:after="80"/>
      </w:pPr>
      <w:r>
        <w:t xml:space="preserve"/>
      </w:r>
    </w:p>
    <w:p>
      <w:pPr>
        <w:pStyle w:val="Heading2"/>
      </w:pPr>
      <w:r>
        <w:rPr>
          <w:rFonts w:ascii="Arial" w:cs="Arial" w:eastAsia="Arial" w:hAnsi="Arial"/>
          <w:b/>
          <w:bCs/>
          <w:color w:val="2E75B6"/>
          <w:sz w:val="26"/>
          <w:szCs w:val="26"/>
        </w:rPr>
        <w:t xml:space="preserve">6.4 MCP Gateway — FT Enforcement Implementation</w:t>
      </w:r>
    </w:p>
    <w:p>
      <w:pPr>
        <w:spacing w:before="80" w:after="80"/>
      </w:pPr>
      <w:r>
        <w:t xml:space="preserve"/>
      </w:r>
    </w:p>
    <w:p>
      <w:pPr>
        <w:spacing w:before="80" w:after="80"/>
      </w:pPr>
      <w:r>
        <w:rPr>
          <w:rFonts w:ascii="Arial" w:cs="Arial" w:eastAsia="Arial" w:hAnsi="Arial"/>
          <w:sz w:val="20"/>
          <w:szCs w:val="20"/>
        </w:rPr>
        <w:t xml:space="preserve">The MCP Gateway acts as a policy enforcement point (PEP) for all tool calls:</w:t>
      </w:r>
    </w:p>
    <w:p>
      <w:pPr>
        <w:spacing w:before="80" w:after="80"/>
      </w:pPr>
      <w:r>
        <w:t xml:space="preserve"/>
      </w:r>
    </w:p>
    <w:p>
      <w:pPr>
        <w:pStyle w:val="ListParagraph"/>
        <w:numPr>
          <w:ilvl w:val="0"/>
          <w:numId w:val="3"/>
        </w:numPr>
        <w:spacing w:before="40" w:after="40"/>
      </w:pPr>
      <w:r>
        <w:rPr>
          <w:rFonts w:ascii="Arial" w:cs="Arial" w:eastAsia="Arial" w:hAnsi="Arial"/>
          <w:sz w:val="20"/>
          <w:szCs w:val="20"/>
        </w:rPr>
        <w:t xml:space="preserve">Extract enriched context JWT from the agent request header.</w:t>
      </w:r>
    </w:p>
    <w:p>
      <w:pPr>
        <w:pStyle w:val="ListParagraph"/>
        <w:numPr>
          <w:ilvl w:val="0"/>
          <w:numId w:val="3"/>
        </w:numPr>
        <w:spacing w:before="40" w:after="40"/>
      </w:pPr>
      <w:r>
        <w:rPr>
          <w:rFonts w:ascii="Arial" w:cs="Arial" w:eastAsia="Arial" w:hAnsi="Arial"/>
          <w:sz w:val="20"/>
          <w:szCs w:val="20"/>
        </w:rPr>
        <w:t xml:space="preserve">Validate JWT signature against BFF JWKS (cached in-memory).</w:t>
      </w:r>
    </w:p>
    <w:p>
      <w:pPr>
        <w:pStyle w:val="ListParagraph"/>
        <w:numPr>
          <w:ilvl w:val="0"/>
          <w:numId w:val="3"/>
        </w:numPr>
        <w:spacing w:before="40" w:after="40"/>
      </w:pPr>
      <w:r>
        <w:rPr>
          <w:rFonts w:ascii="Arial" w:cs="Arial" w:eastAsia="Arial" w:hAnsi="Arial"/>
          <w:sz w:val="20"/>
          <w:szCs w:val="20"/>
        </w:rPr>
        <w:t xml:space="preserve">Load tool definition including required FT rights.</w:t>
      </w:r>
    </w:p>
    <w:p>
      <w:pPr>
        <w:pStyle w:val="ListParagraph"/>
        <w:numPr>
          <w:ilvl w:val="0"/>
          <w:numId w:val="3"/>
        </w:numPr>
        <w:spacing w:before="40" w:after="40"/>
      </w:pPr>
      <w:r>
        <w:rPr>
          <w:rFonts w:ascii="Arial" w:cs="Arial" w:eastAsia="Arial" w:hAnsi="Arial"/>
          <w:sz w:val="20"/>
          <w:szCs w:val="20"/>
        </w:rPr>
        <w:t xml:space="preserve">Compare user's ft_rights claim against tool's ft_required list.</w:t>
      </w:r>
    </w:p>
    <w:p>
      <w:pPr>
        <w:pStyle w:val="ListParagraph"/>
        <w:numPr>
          <w:ilvl w:val="0"/>
          <w:numId w:val="3"/>
        </w:numPr>
        <w:spacing w:before="40" w:after="40"/>
      </w:pPr>
      <w:r>
        <w:rPr>
          <w:rFonts w:ascii="Arial" w:cs="Arial" w:eastAsia="Arial" w:hAnsi="Arial"/>
          <w:sz w:val="20"/>
          <w:szCs w:val="20"/>
        </w:rPr>
        <w:t xml:space="preserve">If all required FTs present: forward request to MCP Server.</w:t>
      </w:r>
    </w:p>
    <w:p>
      <w:pPr>
        <w:pStyle w:val="ListParagraph"/>
        <w:numPr>
          <w:ilvl w:val="0"/>
          <w:numId w:val="3"/>
        </w:numPr>
        <w:spacing w:before="40" w:after="40"/>
      </w:pPr>
      <w:r>
        <w:rPr>
          <w:rFonts w:ascii="Arial" w:cs="Arial" w:eastAsia="Arial" w:hAnsi="Arial"/>
          <w:sz w:val="20"/>
          <w:szCs w:val="20"/>
        </w:rPr>
        <w:t xml:space="preserve">If any FT missing: return HTTP 403 with detailed error code.</w:t>
      </w:r>
    </w:p>
    <w:p>
      <w:pPr>
        <w:pStyle w:val="ListParagraph"/>
        <w:numPr>
          <w:ilvl w:val="0"/>
          <w:numId w:val="3"/>
        </w:numPr>
        <w:spacing w:before="40" w:after="40"/>
      </w:pPr>
      <w:r>
        <w:rPr>
          <w:rFonts w:ascii="Arial" w:cs="Arial" w:eastAsia="Arial" w:hAnsi="Arial"/>
          <w:sz w:val="20"/>
          <w:szCs w:val="20"/>
        </w:rPr>
        <w:t xml:space="preserve">Log all allow/deny decisions to Langfuse and CloudWatch.</w:t>
      </w:r>
    </w:p>
    <w:p>
      <w:r>
        <w:br w:type="page"/>
      </w:r>
    </w:p>
    <w:p>
      <w:pPr>
        <w:pStyle w:val="Heading1"/>
      </w:pPr>
      <w:r>
        <w:rPr>
          <w:rFonts w:ascii="Arial" w:cs="Arial" w:eastAsia="Arial" w:hAnsi="Arial"/>
          <w:b/>
          <w:bCs/>
          <w:color w:val="1F4E79"/>
          <w:sz w:val="32"/>
          <w:szCs w:val="32"/>
        </w:rPr>
        <w:t xml:space="preserve">7. Observability with Langfuse</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7.1 Langfuse Deployment</w:t>
      </w:r>
    </w:p>
    <w:p>
      <w:pPr>
        <w:spacing w:before="80" w:after="80"/>
      </w:pPr>
      <w:r>
        <w:t xml:space="preserve"/>
      </w:r>
    </w:p>
    <w:p>
      <w:pPr>
        <w:spacing w:before="80" w:after="80"/>
      </w:pPr>
      <w:r>
        <w:rPr>
          <w:rFonts w:ascii="Arial" w:cs="Arial" w:eastAsia="Arial" w:hAnsi="Arial"/>
          <w:sz w:val="20"/>
          <w:szCs w:val="20"/>
        </w:rPr>
        <w:t xml:space="preserve">Langfuse is deployed as a self-hosted instance within the private VPC on ECS Fargate with an RDS PostgreSQL backend. This ensures that LLM traces, prompts, and user context data do not leave the bank's AWS environment — critical for GDPR compliance and audit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Component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Configuration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Langfuse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ECS Fargate (2 tasks, auto-scaling 2-8)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Database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RDS PostgreSQL 15 (Multi-AZ, encrypted at rest)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 (prompt versions, evaluation datasets)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Access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Internal ALB only — no public endpoint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SSO via ADFS (same identity provider)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 Retention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90 days traces, 1 year aggregates (GDPR-aligned)</w:t>
            </w:r>
          </w:p>
        </w:tc>
      </w:tr>
    </w:tbl>
    <w:p>
      <w:pPr>
        <w:spacing w:before="80" w:after="80"/>
      </w:pPr>
      <w:r>
        <w:t xml:space="preserve"/>
      </w:r>
    </w:p>
    <w:p>
      <w:pPr>
        <w:pStyle w:val="Heading2"/>
      </w:pPr>
      <w:r>
        <w:rPr>
          <w:rFonts w:ascii="Arial" w:cs="Arial" w:eastAsia="Arial" w:hAnsi="Arial"/>
          <w:b/>
          <w:bCs/>
          <w:color w:val="2E75B6"/>
          <w:sz w:val="26"/>
          <w:szCs w:val="26"/>
        </w:rPr>
        <w:t xml:space="preserve">7.2 Tracing Integration</w:t>
      </w:r>
    </w:p>
    <w:p>
      <w:pPr>
        <w:spacing w:before="80" w:after="80"/>
      </w:pPr>
      <w:r>
        <w:t xml:space="preserve"/>
      </w:r>
    </w:p>
    <w:p>
      <w:pPr>
        <w:spacing w:before="80" w:after="80"/>
      </w:pPr>
      <w:r>
        <w:rPr>
          <w:rFonts w:ascii="Arial" w:cs="Arial" w:eastAsia="Arial" w:hAnsi="Arial"/>
          <w:sz w:val="20"/>
          <w:szCs w:val="20"/>
        </w:rPr>
        <w:t xml:space="preserve">Every agent invocation creates a Langfuse trace with the following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80"/>
              <w:bottom w:type="dxa" w:w="80"/>
              <w:right w:type="dxa" w:w="180"/>
            </w:tcMar>
          </w:tcPr>
          <w:p>
            <w:pPr>
              <w:spacing w:before="20" w:after="20"/>
            </w:pPr>
            <w:r>
              <w:rPr>
                <w:rFonts w:ascii="Courier New" w:cs="Courier New" w:eastAsia="Courier New" w:hAnsi="Courier New"/>
                <w:color w:val="D4D4D4"/>
                <w:sz w:val="16"/>
                <w:szCs w:val="16"/>
              </w:rPr>
              <w:t xml:space="preserve">  Langfuse Trace Structure</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trace:</w:t>
            </w:r>
          </w:p>
          <w:p>
            <w:pPr>
              <w:spacing w:before="20" w:after="20"/>
            </w:pPr>
            <w:r>
              <w:rPr>
                <w:rFonts w:ascii="Courier New" w:cs="Courier New" w:eastAsia="Courier New" w:hAnsi="Courier New"/>
                <w:color w:val="D4D4D4"/>
                <w:sz w:val="16"/>
                <w:szCs w:val="16"/>
              </w:rPr>
              <w:t xml:space="preserve">    id:          'trace_abc123'</w:t>
            </w:r>
          </w:p>
          <w:p>
            <w:pPr>
              <w:spacing w:before="20" w:after="20"/>
            </w:pPr>
            <w:r>
              <w:rPr>
                <w:rFonts w:ascii="Courier New" w:cs="Courier New" w:eastAsia="Courier New" w:hAnsi="Courier New"/>
                <w:color w:val="D4D4D4"/>
                <w:sz w:val="16"/>
                <w:szCs w:val="16"/>
              </w:rPr>
              <w:t xml:space="preserve">    session_id:  'sess_xyz456'</w:t>
            </w:r>
          </w:p>
          <w:p>
            <w:pPr>
              <w:spacing w:before="20" w:after="20"/>
            </w:pPr>
            <w:r>
              <w:rPr>
                <w:rFonts w:ascii="Courier New" w:cs="Courier New" w:eastAsia="Courier New" w:hAnsi="Courier New"/>
                <w:color w:val="D4D4D4"/>
                <w:sz w:val="16"/>
                <w:szCs w:val="16"/>
              </w:rPr>
              <w:t xml:space="preserve">    user_id:     'john.doe@bank.eu'  (pseudonymised)</w:t>
            </w:r>
          </w:p>
          <w:p>
            <w:pPr>
              <w:spacing w:before="20" w:after="20"/>
            </w:pPr>
            <w:r>
              <w:rPr>
                <w:rFonts w:ascii="Courier New" w:cs="Courier New" w:eastAsia="Courier New" w:hAnsi="Courier New"/>
                <w:color w:val="D4D4D4"/>
                <w:sz w:val="16"/>
                <w:szCs w:val="16"/>
              </w:rPr>
              <w:t xml:space="preserve">    ft_rights:   ['FT:CUST_VIEW', 'FT:PORTFOLIO_READ']</w:t>
            </w:r>
          </w:p>
          <w:p>
            <w:pPr>
              <w:spacing w:before="20" w:after="20"/>
            </w:pPr>
            <w:r>
              <w:rPr>
                <w:rFonts w:ascii="Courier New" w:cs="Courier New" w:eastAsia="Courier New" w:hAnsi="Courier New"/>
                <w:color w:val="D4D4D4"/>
                <w:sz w:val="16"/>
                <w:szCs w:val="16"/>
              </w:rPr>
              <w:t xml:space="preserve">    metadata:</w:t>
            </w:r>
          </w:p>
          <w:p>
            <w:pPr>
              <w:spacing w:before="20" w:after="20"/>
            </w:pPr>
            <w:r>
              <w:rPr>
                <w:rFonts w:ascii="Courier New" w:cs="Courier New" w:eastAsia="Courier New" w:hAnsi="Courier New"/>
                <w:color w:val="D4D4D4"/>
                <w:sz w:val="16"/>
                <w:szCs w:val="16"/>
              </w:rPr>
              <w:t xml:space="preserve">      agent_type: 'supervisor'</w:t>
            </w:r>
          </w:p>
          <w:p>
            <w:pPr>
              <w:spacing w:before="20" w:after="20"/>
            </w:pPr>
            <w:r>
              <w:rPr>
                <w:rFonts w:ascii="Courier New" w:cs="Courier New" w:eastAsia="Courier New" w:hAnsi="Courier New"/>
                <w:color w:val="D4D4D4"/>
                <w:sz w:val="16"/>
                <w:szCs w:val="16"/>
              </w:rPr>
              <w:t xml:space="preserve">      model:      'anthropic.claude-3-5-sonnet'</w:t>
            </w:r>
          </w:p>
          <w:p>
            <w:pPr>
              <w:spacing w:before="20" w:after="20"/>
            </w:pPr>
            <w:r>
              <w:rPr>
                <w:rFonts w:ascii="Courier New" w:cs="Courier New" w:eastAsia="Courier New" w:hAnsi="Courier New"/>
                <w:color w:val="D4D4D4"/>
                <w:sz w:val="16"/>
                <w:szCs w:val="16"/>
              </w:rPr>
              <w:t xml:space="preserve">      region:     'eu-west-1'</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spans:</w:t>
            </w:r>
          </w:p>
          <w:p>
            <w:pPr>
              <w:spacing w:before="20" w:after="20"/>
            </w:pPr>
            <w:r>
              <w:rPr>
                <w:rFonts w:ascii="Courier New" w:cs="Courier New" w:eastAsia="Courier New" w:hAnsi="Courier New"/>
                <w:color w:val="D4D4D4"/>
                <w:sz w:val="16"/>
                <w:szCs w:val="16"/>
              </w:rPr>
              <w:t xml:space="preserve">      - name: 'supervisor-plan'</w:t>
            </w:r>
          </w:p>
          <w:p>
            <w:pPr>
              <w:spacing w:before="20" w:after="20"/>
            </w:pPr>
            <w:r>
              <w:rPr>
                <w:rFonts w:ascii="Courier New" w:cs="Courier New" w:eastAsia="Courier New" w:hAnsi="Courier New"/>
                <w:color w:val="D4D4D4"/>
                <w:sz w:val="16"/>
                <w:szCs w:val="16"/>
              </w:rPr>
              <w:t xml:space="preserve">        type: 'llm'</w:t>
            </w:r>
          </w:p>
          <w:p>
            <w:pPr>
              <w:spacing w:before="20" w:after="20"/>
            </w:pPr>
            <w:r>
              <w:rPr>
                <w:rFonts w:ascii="Courier New" w:cs="Courier New" w:eastAsia="Courier New" w:hAnsi="Courier New"/>
                <w:color w:val="D4D4D4"/>
                <w:sz w:val="16"/>
                <w:szCs w:val="16"/>
              </w:rPr>
              <w:t xml:space="preserve">        input_tokens:  850</w:t>
            </w:r>
          </w:p>
          <w:p>
            <w:pPr>
              <w:spacing w:before="20" w:after="20"/>
            </w:pPr>
            <w:r>
              <w:rPr>
                <w:rFonts w:ascii="Courier New" w:cs="Courier New" w:eastAsia="Courier New" w:hAnsi="Courier New"/>
                <w:color w:val="D4D4D4"/>
                <w:sz w:val="16"/>
                <w:szCs w:val="16"/>
              </w:rPr>
              <w:t xml:space="preserve">        output_tokens: 220</w:t>
            </w:r>
          </w:p>
          <w:p>
            <w:pPr>
              <w:spacing w:before="20" w:after="20"/>
            </w:pPr>
            <w:r>
              <w:rPr>
                <w:rFonts w:ascii="Courier New" w:cs="Courier New" w:eastAsia="Courier New" w:hAnsi="Courier New"/>
                <w:color w:val="D4D4D4"/>
                <w:sz w:val="16"/>
                <w:szCs w:val="16"/>
              </w:rPr>
              <w:t xml:space="preserve">        latency_ms:    1240</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name: 'customer-agent-invoke'</w:t>
            </w:r>
          </w:p>
          <w:p>
            <w:pPr>
              <w:spacing w:before="20" w:after="20"/>
            </w:pPr>
            <w:r>
              <w:rPr>
                <w:rFonts w:ascii="Courier New" w:cs="Courier New" w:eastAsia="Courier New" w:hAnsi="Courier New"/>
                <w:color w:val="D4D4D4"/>
                <w:sz w:val="16"/>
                <w:szCs w:val="16"/>
              </w:rPr>
              <w:t xml:space="preserve">        type: 'span'</w:t>
            </w:r>
          </w:p>
          <w:p>
            <w:pPr>
              <w:spacing w:before="20" w:after="20"/>
            </w:pPr>
            <w:r>
              <w:rPr>
                <w:rFonts w:ascii="Courier New" w:cs="Courier New" w:eastAsia="Courier New" w:hAnsi="Courier New"/>
                <w:color w:val="D4D4D4"/>
                <w:sz w:val="16"/>
                <w:szCs w:val="16"/>
              </w:rPr>
              <w:t xml:space="preserve">        metadata: { ft_required: 'FT:CUST_VIEW', ft_granted: true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name: 'get_customer_portfolio'</w:t>
            </w:r>
          </w:p>
          <w:p>
            <w:pPr>
              <w:spacing w:before="20" w:after="20"/>
            </w:pPr>
            <w:r>
              <w:rPr>
                <w:rFonts w:ascii="Courier New" w:cs="Courier New" w:eastAsia="Courier New" w:hAnsi="Courier New"/>
                <w:color w:val="D4D4D4"/>
                <w:sz w:val="16"/>
                <w:szCs w:val="16"/>
              </w:rPr>
              <w:t xml:space="preserve">        type: 'tool'</w:t>
            </w:r>
          </w:p>
          <w:p>
            <w:pPr>
              <w:spacing w:before="20" w:after="20"/>
            </w:pPr>
            <w:r>
              <w:rPr>
                <w:rFonts w:ascii="Courier New" w:cs="Courier New" w:eastAsia="Courier New" w:hAnsi="Courier New"/>
                <w:color w:val="D4D4D4"/>
                <w:sz w:val="16"/>
                <w:szCs w:val="16"/>
              </w:rPr>
              <w:t xml:space="preserve">        metadata: { mcp_server: 'portfolio-mcp', ft_check: 'PASS' }</w:t>
            </w:r>
          </w:p>
          <w:p>
            <w:pPr>
              <w:spacing w:before="20" w:after="20"/>
            </w:pPr>
            <w:r>
              <w:rPr>
                <w:rFonts w:ascii="Courier New" w:cs="Courier New" w:eastAsia="Courier New" w:hAnsi="Courier New"/>
                <w:color w:val="D4D4D4"/>
                <w:sz w:val="16"/>
                <w:szCs w:val="16"/>
              </w:rPr>
              <w:t xml:space="preserve">        latency_ms: 340</w:t>
            </w:r>
          </w:p>
        </w:tc>
      </w:tr>
    </w:tbl>
    <w:p>
      <w:pPr>
        <w:spacing w:before="80" w:after="80"/>
      </w:pPr>
      <w:r>
        <w:t xml:space="preserve"/>
      </w:r>
    </w:p>
    <w:p>
      <w:pPr>
        <w:pStyle w:val="Heading2"/>
      </w:pPr>
      <w:r>
        <w:rPr>
          <w:rFonts w:ascii="Arial" w:cs="Arial" w:eastAsia="Arial" w:hAnsi="Arial"/>
          <w:b/>
          <w:bCs/>
          <w:color w:val="2E75B6"/>
          <w:sz w:val="26"/>
          <w:szCs w:val="26"/>
        </w:rPr>
        <w:t xml:space="preserve">7.3 Key Observability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Source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Alert Threshold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Metric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Source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Alert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Agent invocation latency (p99)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Langfuse traces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&lt; 10s for full chain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LLM cost per session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token metrics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Configurable budget alert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FT rights denial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MCP Gateway 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&gt; 1% triggers review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ADFS external call rate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BFF logs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Should be ~0 after login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JWKS refresh failures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CloudWatch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Any failure → PagerDuty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Agent error rate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 CloudWatch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&lt; 0.5% per agent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Token cache hit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ElastiCache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&gt; 98% expected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MCP tool success rate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tool spans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&gt; 99% per tool</w:t>
            </w:r>
          </w:p>
        </w:tc>
      </w:tr>
    </w:tbl>
    <w:p>
      <w:r>
        <w:br w:type="page"/>
      </w:r>
    </w:p>
    <w:p>
      <w:pPr>
        <w:pStyle w:val="Heading1"/>
      </w:pPr>
      <w:r>
        <w:rPr>
          <w:rFonts w:ascii="Arial" w:cs="Arial" w:eastAsia="Arial" w:hAnsi="Arial"/>
          <w:b/>
          <w:bCs/>
          <w:color w:val="1F4E79"/>
          <w:sz w:val="32"/>
          <w:szCs w:val="32"/>
        </w:rPr>
        <w:t xml:space="preserve">8. Security Architecture</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8.1 Defence in Depth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180"/>
              <w:bottom w:type="dxa" w:w="80"/>
              <w:right w:type="dxa" w:w="180"/>
            </w:tcMar>
          </w:tcPr>
          <w:p>
            <w:pPr>
              <w:spacing w:before="20" w:after="20"/>
            </w:pPr>
            <w:r>
              <w:rPr>
                <w:rFonts w:ascii="Courier New" w:cs="Courier New" w:eastAsia="Courier New" w:hAnsi="Courier New"/>
                <w:color w:val="D4D4D4"/>
                <w:sz w:val="16"/>
                <w:szCs w:val="16"/>
              </w:rPr>
              <w:t xml:space="preserve">  LAYER 1 — PERIMETER</w:t>
            </w:r>
          </w:p>
          <w:p>
            <w:pPr>
              <w:spacing w:before="20" w:after="20"/>
            </w:pPr>
            <w:r>
              <w:rPr>
                <w:rFonts w:ascii="Courier New" w:cs="Courier New" w:eastAsia="Courier New" w:hAnsi="Courier New"/>
                <w:color w:val="D4D4D4"/>
                <w:sz w:val="16"/>
                <w:szCs w:val="16"/>
              </w:rPr>
              <w:t xml:space="preserve">  CloudFront + WAF: DDoS, OWASP Top 10, Geo-restriction (EU only)</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LAYER 2 — EDGE AUTHENTICATION</w:t>
            </w:r>
          </w:p>
          <w:p>
            <w:pPr>
              <w:spacing w:before="20" w:after="20"/>
            </w:pPr>
            <w:r>
              <w:rPr>
                <w:rFonts w:ascii="Courier New" w:cs="Courier New" w:eastAsia="Courier New" w:hAnsi="Courier New"/>
                <w:color w:val="D4D4D4"/>
                <w:sz w:val="16"/>
                <w:szCs w:val="16"/>
              </w:rPr>
              <w:t xml:space="preserve">  ALB: mTLS for internal services, cert validation</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LAYER 3 — SESSION AUTHENTICATION</w:t>
            </w:r>
          </w:p>
          <w:p>
            <w:pPr>
              <w:spacing w:before="20" w:after="20"/>
            </w:pPr>
            <w:r>
              <w:rPr>
                <w:rFonts w:ascii="Courier New" w:cs="Courier New" w:eastAsia="Courier New" w:hAnsi="Courier New"/>
                <w:color w:val="D4D4D4"/>
                <w:sz w:val="16"/>
                <w:szCs w:val="16"/>
              </w:rPr>
              <w:t xml:space="preserve">  BFF: OIDC/OAuth2 code flow, PKCE enforced, token binding</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LAYER 4 — REQUEST AUTHORISATION</w:t>
            </w:r>
          </w:p>
          <w:p>
            <w:pPr>
              <w:spacing w:before="20" w:after="20"/>
            </w:pPr>
            <w:r>
              <w:rPr>
                <w:rFonts w:ascii="Courier New" w:cs="Courier New" w:eastAsia="Courier New" w:hAnsi="Courier New"/>
                <w:color w:val="D4D4D4"/>
                <w:sz w:val="16"/>
                <w:szCs w:val="16"/>
              </w:rPr>
              <w:t xml:space="preserve">  API Gateway: JWT validation, FT:AGENT_INVOKE check</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LAYER 5 — AGENT AUTHORISATION</w:t>
            </w:r>
          </w:p>
          <w:p>
            <w:pPr>
              <w:spacing w:before="20" w:after="20"/>
            </w:pPr>
            <w:r>
              <w:rPr>
                <w:rFonts w:ascii="Courier New" w:cs="Courier New" w:eastAsia="Courier New" w:hAnsi="Courier New"/>
                <w:color w:val="D4D4D4"/>
                <w:sz w:val="16"/>
                <w:szCs w:val="16"/>
              </w:rPr>
              <w:t xml:space="preserve">  Agent Core: FT rights in session attributes, tool-level checks</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LAYER 6 — TOOL AUTHORISATION</w:t>
            </w:r>
          </w:p>
          <w:p>
            <w:pPr>
              <w:spacing w:before="20" w:after="20"/>
            </w:pPr>
            <w:r>
              <w:rPr>
                <w:rFonts w:ascii="Courier New" w:cs="Courier New" w:eastAsia="Courier New" w:hAnsi="Courier New"/>
                <w:color w:val="D4D4D4"/>
                <w:sz w:val="16"/>
                <w:szCs w:val="16"/>
              </w:rPr>
              <w:t xml:space="preserve">  MCP Gateway: Per-tool FT rights PEP</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LAYER 7 — DATA LAYER</w:t>
            </w:r>
          </w:p>
          <w:p>
            <w:pPr>
              <w:spacing w:before="20" w:after="20"/>
            </w:pPr>
            <w:r>
              <w:rPr>
                <w:rFonts w:ascii="Courier New" w:cs="Courier New" w:eastAsia="Courier New" w:hAnsi="Courier New"/>
                <w:color w:val="D4D4D4"/>
                <w:sz w:val="16"/>
                <w:szCs w:val="16"/>
              </w:rPr>
              <w:t xml:space="preserve">  MCP Servers: Final validation + row-level security (RLS)</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LAYER 8 — AUDIT</w:t>
            </w:r>
          </w:p>
          <w:p>
            <w:pPr>
              <w:spacing w:before="20" w:after="20"/>
            </w:pPr>
            <w:r>
              <w:rPr>
                <w:rFonts w:ascii="Courier New" w:cs="Courier New" w:eastAsia="Courier New" w:hAnsi="Courier New"/>
                <w:color w:val="D4D4D4"/>
                <w:sz w:val="16"/>
                <w:szCs w:val="16"/>
              </w:rPr>
              <w:t xml:space="preserve">  Langfuse + CloudTrail: Immutable audit log with FT context</w:t>
            </w:r>
          </w:p>
        </w:tc>
      </w:tr>
    </w:tbl>
    <w:p>
      <w:pPr>
        <w:spacing w:before="80" w:after="80"/>
      </w:pPr>
      <w:r>
        <w:t xml:space="preserve"/>
      </w:r>
    </w:p>
    <w:p>
      <w:pPr>
        <w:pStyle w:val="Heading2"/>
      </w:pPr>
      <w:r>
        <w:rPr>
          <w:rFonts w:ascii="Arial" w:cs="Arial" w:eastAsia="Arial" w:hAnsi="Arial"/>
          <w:b/>
          <w:bCs/>
          <w:color w:val="2E75B6"/>
          <w:sz w:val="26"/>
          <w:szCs w:val="26"/>
        </w:rPr>
        <w:t xml:space="preserve">8.2 Key Security Controls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Control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Implementation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Standard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Control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Implementation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Standard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Encryption in transit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TLS 1.3 everywhere, mTLS for internal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PCI DSS, DORA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Encryption at rest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AWS KMS (CMK), AES-256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GDPR Art.32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Token signing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RS256, 4096-bit, rotation via KMS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NIST SP800-131A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PII in traces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pseudonymisation, field masking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GDPR Art.25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Network 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VPC, Security Groups, NACLs, PrivateLink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CIS AWS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Secrets management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AWS Secrets Manager, no env vars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OWASP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Supply chain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ECR image scanning, SBOM, signed 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SLSA Level 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LLM guardrails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Bedrock Guardrails (PII, prompt injection)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Bank AI Policy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Audit retention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CloudTrail 7yr, Langfuse 90d/1yr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MiFID II, DORA</w:t>
            </w:r>
          </w:p>
        </w:tc>
      </w:tr>
    </w:tbl>
    <w:p>
      <w:r>
        <w:br w:type="page"/>
      </w:r>
    </w:p>
    <w:p>
      <w:pPr>
        <w:pStyle w:val="Heading1"/>
      </w:pPr>
      <w:r>
        <w:rPr>
          <w:rFonts w:ascii="Arial" w:cs="Arial" w:eastAsia="Arial" w:hAnsi="Arial"/>
          <w:b/>
          <w:bCs/>
          <w:color w:val="1F4E79"/>
          <w:sz w:val="32"/>
          <w:szCs w:val="32"/>
        </w:rPr>
        <w:t xml:space="preserve">9. Pros, Cons &amp; Recommendations</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9.1 Architectural Strengths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F0FFF4" w:val="clear"/>
            <w:tcMar>
              <w:top w:type="dxa" w:w="60"/>
              <w:left w:type="dxa" w:w="200"/>
              <w:bottom w:type="dxa" w:w="60"/>
              <w:right w:type="dxa" w:w="200"/>
            </w:tcMar>
          </w:tcPr>
          <w:p>
            <w:r>
              <w:rPr>
                <w:rFonts w:ascii="Arial" w:cs="Arial" w:eastAsia="Arial" w:hAnsi="Arial"/>
                <w:b/>
                <w:bCs/>
                <w:color w:val="375623"/>
                <w:sz w:val="18"/>
                <w:szCs w:val="18"/>
              </w:rPr>
              <w:t xml:space="preserve">STRENGTHS — What This Architecture Does Well</w:t>
            </w:r>
          </w:p>
        </w:tc>
      </w:tr>
    </w:tbl>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Minimal ADFS dependency at runtime: after login, zero external ADFS calls per request reduces latency by 150-400ms and eliminates external SLA dependency on each request.</w:t>
      </w:r>
    </w:p>
    <w:p>
      <w:pPr>
        <w:pStyle w:val="ListParagraph"/>
        <w:numPr>
          <w:ilvl w:val="0"/>
          <w:numId w:val="2"/>
        </w:numPr>
        <w:spacing w:before="40" w:after="40"/>
      </w:pPr>
      <w:r>
        <w:rPr>
          <w:rFonts w:ascii="Arial" w:cs="Arial" w:eastAsia="Arial" w:hAnsi="Arial"/>
          <w:sz w:val="20"/>
          <w:szCs w:val="20"/>
        </w:rPr>
        <w:t xml:space="preserve">FT rights as first-class citizen: embedding FT rights in the JWT at the BFF layer and propagating them through the agent chain ensures consistent, auditable access control at every layer.</w:t>
      </w:r>
    </w:p>
    <w:p>
      <w:pPr>
        <w:pStyle w:val="ListParagraph"/>
        <w:numPr>
          <w:ilvl w:val="0"/>
          <w:numId w:val="2"/>
        </w:numPr>
        <w:spacing w:before="40" w:after="40"/>
      </w:pPr>
      <w:r>
        <w:rPr>
          <w:rFonts w:ascii="Arial" w:cs="Arial" w:eastAsia="Arial" w:hAnsi="Arial"/>
          <w:sz w:val="20"/>
          <w:szCs w:val="20"/>
        </w:rPr>
        <w:t xml:space="preserve">Multi-agent scalability: the supervisor-worker pattern with Bedrock Agent Runtime enables horizontal scaling of specialist agents without changing the API contract.</w:t>
      </w:r>
    </w:p>
    <w:p>
      <w:pPr>
        <w:pStyle w:val="ListParagraph"/>
        <w:numPr>
          <w:ilvl w:val="0"/>
          <w:numId w:val="2"/>
        </w:numPr>
        <w:spacing w:before="40" w:after="40"/>
      </w:pPr>
      <w:r>
        <w:rPr>
          <w:rFonts w:ascii="Arial" w:cs="Arial" w:eastAsia="Arial" w:hAnsi="Arial"/>
          <w:sz w:val="20"/>
          <w:szCs w:val="20"/>
        </w:rPr>
        <w:t xml:space="preserve">GDPR-compliant observability: self-hosted Langfuse within VPC ensures LLM traces containing user context never leave the EU AWS environment.</w:t>
      </w:r>
    </w:p>
    <w:p>
      <w:pPr>
        <w:pStyle w:val="ListParagraph"/>
        <w:numPr>
          <w:ilvl w:val="0"/>
          <w:numId w:val="2"/>
        </w:numPr>
        <w:spacing w:before="40" w:after="40"/>
      </w:pPr>
      <w:r>
        <w:rPr>
          <w:rFonts w:ascii="Arial" w:cs="Arial" w:eastAsia="Arial" w:hAnsi="Arial"/>
          <w:sz w:val="20"/>
          <w:szCs w:val="20"/>
        </w:rPr>
        <w:t xml:space="preserve">Defence in depth: 8-layer security model means a single component compromise does not expose data — FT rights are re-validated at MCP Gateway regardless of upstream claims.</w:t>
      </w:r>
    </w:p>
    <w:p>
      <w:pPr>
        <w:pStyle w:val="ListParagraph"/>
        <w:numPr>
          <w:ilvl w:val="0"/>
          <w:numId w:val="2"/>
        </w:numPr>
        <w:spacing w:before="40" w:after="40"/>
      </w:pPr>
      <w:r>
        <w:rPr>
          <w:rFonts w:ascii="Arial" w:cs="Arial" w:eastAsia="Arial" w:hAnsi="Arial"/>
          <w:sz w:val="20"/>
          <w:szCs w:val="20"/>
        </w:rPr>
        <w:t xml:space="preserve">MCP standardisation: using MCP as the tool interface standard enables agent-agnostic tool development and future migration to alternative LLM providers.</w:t>
      </w:r>
    </w:p>
    <w:p>
      <w:pPr>
        <w:spacing w:before="80" w:after="80"/>
      </w:pPr>
      <w:r>
        <w:t xml:space="preserve"/>
      </w:r>
    </w:p>
    <w:p>
      <w:pPr>
        <w:pStyle w:val="Heading2"/>
      </w:pPr>
      <w:r>
        <w:rPr>
          <w:rFonts w:ascii="Arial" w:cs="Arial" w:eastAsia="Arial" w:hAnsi="Arial"/>
          <w:b/>
          <w:bCs/>
          <w:color w:val="2E75B6"/>
          <w:sz w:val="26"/>
          <w:szCs w:val="26"/>
        </w:rPr>
        <w:t xml:space="preserve">9.2 Weaknesses &amp; Risks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FF0F0" w:val="clear"/>
            <w:tcMar>
              <w:top w:type="dxa" w:w="60"/>
              <w:left w:type="dxa" w:w="200"/>
              <w:bottom w:type="dxa" w:w="60"/>
              <w:right w:type="dxa" w:w="200"/>
            </w:tcMar>
          </w:tcPr>
          <w:p>
            <w:r>
              <w:rPr>
                <w:rFonts w:ascii="Arial" w:cs="Arial" w:eastAsia="Arial" w:hAnsi="Arial"/>
                <w:b/>
                <w:bCs/>
                <w:color w:val="C00000"/>
                <w:sz w:val="18"/>
                <w:szCs w:val="18"/>
              </w:rPr>
              <w:t xml:space="preserve">WEAKNESSES — Known Risks and Trade-offs</w:t>
            </w:r>
          </w:p>
        </w:tc>
      </w:tr>
    </w:tbl>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BFF is a trust boundary: the BFF injects FT rights into the JWT. If the BFF is compromised, an attacker could issue tokens with elevated FT rights. Mitigate with BFF signing key rotation (KMS), network isolation, and anomaly detection.</w:t>
      </w:r>
    </w:p>
    <w:p>
      <w:pPr>
        <w:pStyle w:val="ListParagraph"/>
        <w:numPr>
          <w:ilvl w:val="0"/>
          <w:numId w:val="2"/>
        </w:numPr>
        <w:spacing w:before="40" w:after="40"/>
      </w:pPr>
      <w:r>
        <w:rPr>
          <w:rFonts w:ascii="Arial" w:cs="Arial" w:eastAsia="Arial" w:hAnsi="Arial"/>
          <w:sz w:val="20"/>
          <w:szCs w:val="20"/>
        </w:rPr>
        <w:t xml:space="preserve">FT rights staleness: FT rights are resolved at login time and cached in the session. If a user's FT rights are revoked mid-session, they retain access until session expiry (up to 1 hour). Mitigate with a real-time revocation webhook from the FT Service.</w:t>
      </w:r>
    </w:p>
    <w:p>
      <w:pPr>
        <w:pStyle w:val="ListParagraph"/>
        <w:numPr>
          <w:ilvl w:val="0"/>
          <w:numId w:val="2"/>
        </w:numPr>
        <w:spacing w:before="40" w:after="40"/>
      </w:pPr>
      <w:r>
        <w:rPr>
          <w:rFonts w:ascii="Arial" w:cs="Arial" w:eastAsia="Arial" w:hAnsi="Arial"/>
          <w:sz w:val="20"/>
          <w:szCs w:val="20"/>
        </w:rPr>
        <w:t xml:space="preserve">Redis as critical dependency: the session cache (Redis) is a single point of failure for authentication. Mitigate with ElastiCache Multi-AZ and aggressive health checks with circuit breaker.</w:t>
      </w:r>
    </w:p>
    <w:p>
      <w:pPr>
        <w:pStyle w:val="ListParagraph"/>
        <w:numPr>
          <w:ilvl w:val="0"/>
          <w:numId w:val="2"/>
        </w:numPr>
        <w:spacing w:before="40" w:after="40"/>
      </w:pPr>
      <w:r>
        <w:rPr>
          <w:rFonts w:ascii="Arial" w:cs="Arial" w:eastAsia="Arial" w:hAnsi="Arial"/>
          <w:sz w:val="20"/>
          <w:szCs w:val="20"/>
        </w:rPr>
        <w:t xml:space="preserve">Bedrock vendor lock-in: deep integration with Bedrock Agent Core Runtime makes migration to alternative orchestration frameworks (LangChain, LlamaIndex) costly. Mitigate with an adapter interface layer.</w:t>
      </w:r>
    </w:p>
    <w:p>
      <w:pPr>
        <w:pStyle w:val="ListParagraph"/>
        <w:numPr>
          <w:ilvl w:val="0"/>
          <w:numId w:val="2"/>
        </w:numPr>
        <w:spacing w:before="40" w:after="40"/>
      </w:pPr>
      <w:r>
        <w:rPr>
          <w:rFonts w:ascii="Arial" w:cs="Arial" w:eastAsia="Arial" w:hAnsi="Arial"/>
          <w:sz w:val="20"/>
          <w:szCs w:val="20"/>
        </w:rPr>
        <w:t xml:space="preserve">LLM prompt injection risk: malicious content in tool results could influence agent behaviour. Mitigate with Bedrock Guardrails, input/output scanning, and structured output schemas.</w:t>
      </w:r>
    </w:p>
    <w:p>
      <w:pPr>
        <w:pStyle w:val="ListParagraph"/>
        <w:numPr>
          <w:ilvl w:val="0"/>
          <w:numId w:val="2"/>
        </w:numPr>
        <w:spacing w:before="40" w:after="40"/>
      </w:pPr>
      <w:r>
        <w:rPr>
          <w:rFonts w:ascii="Arial" w:cs="Arial" w:eastAsia="Arial" w:hAnsi="Arial"/>
          <w:sz w:val="20"/>
          <w:szCs w:val="20"/>
        </w:rPr>
        <w:t xml:space="preserve">MCP server cold start (Lambda): Lambda-based MCP servers may introduce 500ms-3s cold start latency for infrequent tools. Mitigate with Provisioned Concurrency for high-priority tools.</w:t>
      </w:r>
    </w:p>
    <w:p>
      <w:pPr>
        <w:spacing w:before="80" w:after="80"/>
      </w:pPr>
      <w:r>
        <w:t xml:space="preserve"/>
      </w:r>
    </w:p>
    <w:p>
      <w:pPr>
        <w:pStyle w:val="Heading2"/>
      </w:pPr>
      <w:r>
        <w:rPr>
          <w:rFonts w:ascii="Arial" w:cs="Arial" w:eastAsia="Arial" w:hAnsi="Arial"/>
          <w:b/>
          <w:bCs/>
          <w:color w:val="2E75B6"/>
          <w:sz w:val="26"/>
          <w:szCs w:val="26"/>
        </w:rPr>
        <w:t xml:space="preserve">9.3 Recommended Enhancements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2"/>
              <w:bottom w:val="single" w:color="7F3F00" w:sz="4"/>
              <w:right w:val="single" w:color="7F3F00" w:sz="4"/>
            </w:tcBorders>
            <w:shd w:fill="EBF5FB" w:val="clear"/>
            <w:tcMar>
              <w:top w:type="dxa" w:w="60"/>
              <w:left w:type="dxa" w:w="200"/>
              <w:bottom w:type="dxa" w:w="60"/>
              <w:right w:type="dxa" w:w="200"/>
            </w:tcMar>
          </w:tcPr>
          <w:p>
            <w:r>
              <w:rPr>
                <w:rFonts w:ascii="Arial" w:cs="Arial" w:eastAsia="Arial" w:hAnsi="Arial"/>
                <w:b/>
                <w:bCs/>
                <w:color w:val="7F3F00"/>
                <w:sz w:val="18"/>
                <w:szCs w:val="18"/>
              </w:rPr>
              <w:t xml:space="preserve">RECOMMENDATIONS — Priority Improvements</w:t>
            </w:r>
          </w:p>
        </w:tc>
      </w:tr>
    </w:tbl>
    <w:p>
      <w:pPr>
        <w:spacing w:before="80" w:after="80"/>
      </w:pPr>
      <w:r>
        <w:t xml:space="preserve"/>
      </w:r>
    </w:p>
    <w:p>
      <w:pPr>
        <w:pStyle w:val="Heading3"/>
      </w:pPr>
      <w:r>
        <w:rPr>
          <w:rFonts w:ascii="Arial" w:cs="Arial" w:eastAsia="Arial" w:hAnsi="Arial"/>
          <w:b/>
          <w:bCs/>
          <w:color w:val="404040"/>
          <w:sz w:val="22"/>
          <w:szCs w:val="22"/>
        </w:rPr>
        <w:t xml:space="preserve">Short-term (0-3 months)</w:t>
      </w:r>
    </w:p>
    <w:p>
      <w:pPr>
        <w:pStyle w:val="ListParagraph"/>
        <w:numPr>
          <w:ilvl w:val="0"/>
          <w:numId w:val="2"/>
        </w:numPr>
        <w:spacing w:before="40" w:after="40"/>
      </w:pPr>
      <w:r>
        <w:rPr>
          <w:rFonts w:ascii="Arial" w:cs="Arial" w:eastAsia="Arial" w:hAnsi="Arial"/>
          <w:sz w:val="20"/>
          <w:szCs w:val="20"/>
        </w:rPr>
        <w:t xml:space="preserve">Implement FT rights revocation webhook: add a Redis pub/sub channel where the FT Service can push real-time revocation events, immediately invalidating cached sessions for affected users.</w:t>
      </w:r>
    </w:p>
    <w:p>
      <w:pPr>
        <w:pStyle w:val="ListParagraph"/>
        <w:numPr>
          <w:ilvl w:val="0"/>
          <w:numId w:val="2"/>
        </w:numPr>
        <w:spacing w:before="40" w:after="40"/>
      </w:pPr>
      <w:r>
        <w:rPr>
          <w:rFonts w:ascii="Arial" w:cs="Arial" w:eastAsia="Arial" w:hAnsi="Arial"/>
          <w:sz w:val="20"/>
          <w:szCs w:val="20"/>
        </w:rPr>
        <w:t xml:space="preserve">Add Bedrock Guardrails for prompt injection: configure topic denial and content filtering for all LLM invocations to prevent data exfiltration via agent tool calls.</w:t>
      </w:r>
    </w:p>
    <w:p>
      <w:pPr>
        <w:pStyle w:val="ListParagraph"/>
        <w:numPr>
          <w:ilvl w:val="0"/>
          <w:numId w:val="2"/>
        </w:numPr>
        <w:spacing w:before="40" w:after="40"/>
      </w:pPr>
      <w:r>
        <w:rPr>
          <w:rFonts w:ascii="Arial" w:cs="Arial" w:eastAsia="Arial" w:hAnsi="Arial"/>
          <w:sz w:val="20"/>
          <w:szCs w:val="20"/>
        </w:rPr>
        <w:t xml:space="preserve">BFF signing key rotation automation: automate quarterly BFF JWT signing key rotation using KMS key policies and automatic JWKS update propagation.</w:t>
      </w:r>
    </w:p>
    <w:p>
      <w:pPr>
        <w:pStyle w:val="ListParagraph"/>
        <w:numPr>
          <w:ilvl w:val="0"/>
          <w:numId w:val="2"/>
        </w:numPr>
        <w:spacing w:before="40" w:after="40"/>
      </w:pPr>
      <w:r>
        <w:rPr>
          <w:rFonts w:ascii="Arial" w:cs="Arial" w:eastAsia="Arial" w:hAnsi="Arial"/>
          <w:sz w:val="20"/>
          <w:szCs w:val="20"/>
        </w:rPr>
        <w:t xml:space="preserve">Circuit breakers: implement circuit breaker pattern (Resilience4j/AWS App Mesh) between BFF and FT Service, and between Agent Core and MCP Gateway.</w:t>
      </w:r>
    </w:p>
    <w:p>
      <w:pPr>
        <w:spacing w:before="80" w:after="80"/>
      </w:pPr>
      <w:r>
        <w:t xml:space="preserve"/>
      </w:r>
    </w:p>
    <w:p>
      <w:pPr>
        <w:pStyle w:val="Heading3"/>
      </w:pPr>
      <w:r>
        <w:rPr>
          <w:rFonts w:ascii="Arial" w:cs="Arial" w:eastAsia="Arial" w:hAnsi="Arial"/>
          <w:b/>
          <w:bCs/>
          <w:color w:val="404040"/>
          <w:sz w:val="22"/>
          <w:szCs w:val="22"/>
        </w:rPr>
        <w:t xml:space="preserve">Medium-term (3-9 months)</w:t>
      </w:r>
    </w:p>
    <w:p>
      <w:pPr>
        <w:pStyle w:val="ListParagraph"/>
        <w:numPr>
          <w:ilvl w:val="0"/>
          <w:numId w:val="2"/>
        </w:numPr>
        <w:spacing w:before="40" w:after="40"/>
      </w:pPr>
      <w:r>
        <w:rPr>
          <w:rFonts w:ascii="Arial" w:cs="Arial" w:eastAsia="Arial" w:hAnsi="Arial"/>
          <w:sz w:val="20"/>
          <w:szCs w:val="20"/>
        </w:rPr>
        <w:t xml:space="preserve">Agent evaluation pipeline: use Langfuse Evaluations to continuously test agent quality against golden datasets. Include FT rights boundary tests (ensure agents cannot bypass FT checks).</w:t>
      </w:r>
    </w:p>
    <w:p>
      <w:pPr>
        <w:pStyle w:val="ListParagraph"/>
        <w:numPr>
          <w:ilvl w:val="0"/>
          <w:numId w:val="2"/>
        </w:numPr>
        <w:spacing w:before="40" w:after="40"/>
      </w:pPr>
      <w:r>
        <w:rPr>
          <w:rFonts w:ascii="Arial" w:cs="Arial" w:eastAsia="Arial" w:hAnsi="Arial"/>
          <w:sz w:val="20"/>
          <w:szCs w:val="20"/>
        </w:rPr>
        <w:t xml:space="preserve">Fine-grained token binding: bind enriched context tokens to client IP/device fingerprint to prevent token replay attacks.</w:t>
      </w:r>
    </w:p>
    <w:p>
      <w:pPr>
        <w:pStyle w:val="ListParagraph"/>
        <w:numPr>
          <w:ilvl w:val="0"/>
          <w:numId w:val="2"/>
        </w:numPr>
        <w:spacing w:before="40" w:after="40"/>
      </w:pPr>
      <w:r>
        <w:rPr>
          <w:rFonts w:ascii="Arial" w:cs="Arial" w:eastAsia="Arial" w:hAnsi="Arial"/>
          <w:sz w:val="20"/>
          <w:szCs w:val="20"/>
        </w:rPr>
        <w:t xml:space="preserve">Multi-region DR: deploy agent platform in eu-central-1 as active-passive DR. ADFS JWKS cache synchronised cross-region via S3 replication.</w:t>
      </w:r>
    </w:p>
    <w:p>
      <w:pPr>
        <w:pStyle w:val="ListParagraph"/>
        <w:numPr>
          <w:ilvl w:val="0"/>
          <w:numId w:val="2"/>
        </w:numPr>
        <w:spacing w:before="40" w:after="40"/>
      </w:pPr>
      <w:r>
        <w:rPr>
          <w:rFonts w:ascii="Arial" w:cs="Arial" w:eastAsia="Arial" w:hAnsi="Arial"/>
          <w:sz w:val="20"/>
          <w:szCs w:val="20"/>
        </w:rPr>
        <w:t xml:space="preserve">Agentic cost governance: implement Langfuse-based LLM spend budgets per user role / FT group to prevent runaway agent costs.</w:t>
      </w:r>
    </w:p>
    <w:p>
      <w:pPr>
        <w:pStyle w:val="ListParagraph"/>
        <w:numPr>
          <w:ilvl w:val="0"/>
          <w:numId w:val="2"/>
        </w:numPr>
        <w:spacing w:before="40" w:after="40"/>
      </w:pPr>
      <w:r>
        <w:rPr>
          <w:rFonts w:ascii="Arial" w:cs="Arial" w:eastAsia="Arial" w:hAnsi="Arial"/>
          <w:sz w:val="20"/>
          <w:szCs w:val="20"/>
        </w:rPr>
        <w:t xml:space="preserve">MCP server versioning: implement semantic versioning for MCP tools with backward-compatible rollout to support multiple agent versions simultaneously.</w:t>
      </w:r>
    </w:p>
    <w:p>
      <w:pPr>
        <w:spacing w:before="80" w:after="80"/>
      </w:pPr>
      <w:r>
        <w:t xml:space="preserve"/>
      </w:r>
    </w:p>
    <w:p>
      <w:pPr>
        <w:pStyle w:val="Heading3"/>
      </w:pPr>
      <w:r>
        <w:rPr>
          <w:rFonts w:ascii="Arial" w:cs="Arial" w:eastAsia="Arial" w:hAnsi="Arial"/>
          <w:b/>
          <w:bCs/>
          <w:color w:val="404040"/>
          <w:sz w:val="22"/>
          <w:szCs w:val="22"/>
        </w:rPr>
        <w:t xml:space="preserve">Long-term (9-18 months)</w:t>
      </w:r>
    </w:p>
    <w:p>
      <w:pPr>
        <w:pStyle w:val="ListParagraph"/>
        <w:numPr>
          <w:ilvl w:val="0"/>
          <w:numId w:val="2"/>
        </w:numPr>
        <w:spacing w:before="40" w:after="40"/>
      </w:pPr>
      <w:r>
        <w:rPr>
          <w:rFonts w:ascii="Arial" w:cs="Arial" w:eastAsia="Arial" w:hAnsi="Arial"/>
          <w:sz w:val="20"/>
          <w:szCs w:val="20"/>
        </w:rPr>
        <w:t xml:space="preserve">Zero-trust agent identity: issue per-agent workload identity certificates (SPIFFE/SPIRE) so each agent sub-invocation is cryptographically attested rather than relying on JWT propagation.</w:t>
      </w:r>
    </w:p>
    <w:p>
      <w:pPr>
        <w:pStyle w:val="ListParagraph"/>
        <w:numPr>
          <w:ilvl w:val="0"/>
          <w:numId w:val="2"/>
        </w:numPr>
        <w:spacing w:before="40" w:after="40"/>
      </w:pPr>
      <w:r>
        <w:rPr>
          <w:rFonts w:ascii="Arial" w:cs="Arial" w:eastAsia="Arial" w:hAnsi="Arial"/>
          <w:sz w:val="20"/>
          <w:szCs w:val="20"/>
        </w:rPr>
        <w:t xml:space="preserve">Agentic audit trail on-chain: for high-value transactions (trade submission), anchor agent audit logs to an immutable ledger for regulatory non-repudiation.</w:t>
      </w:r>
    </w:p>
    <w:p>
      <w:pPr>
        <w:pStyle w:val="ListParagraph"/>
        <w:numPr>
          <w:ilvl w:val="0"/>
          <w:numId w:val="2"/>
        </w:numPr>
        <w:spacing w:before="40" w:after="40"/>
      </w:pPr>
      <w:r>
        <w:rPr>
          <w:rFonts w:ascii="Arial" w:cs="Arial" w:eastAsia="Arial" w:hAnsi="Arial"/>
          <w:sz w:val="20"/>
          <w:szCs w:val="20"/>
        </w:rPr>
        <w:t xml:space="preserve">Federated agent marketplace: enable cross-bank-division agent sharing with scoped FT rights delegation, allowing specialist agents from one division to be called by another with appropriate rights mapping.</w:t>
      </w:r>
    </w:p>
    <w:p>
      <w:r>
        <w:br w:type="page"/>
      </w:r>
    </w:p>
    <w:p>
      <w:pPr>
        <w:pStyle w:val="Heading1"/>
      </w:pPr>
      <w:r>
        <w:rPr>
          <w:rFonts w:ascii="Arial" w:cs="Arial" w:eastAsia="Arial" w:hAnsi="Arial"/>
          <w:b/>
          <w:bCs/>
          <w:color w:val="1F4E79"/>
          <w:sz w:val="32"/>
          <w:szCs w:val="32"/>
        </w:rPr>
        <w:t xml:space="preserve">10. Deployment &amp; Operations</w:t>
      </w:r>
    </w:p>
    <w:p>
      <w:pPr>
        <w:pBdr>
          <w:bottom w:val="single" w:color="2E75B6" w:sz="6" w:space="1"/>
        </w:pBdr>
      </w:pPr>
      <w:r>
        <w:t xml:space="preserve"/>
      </w:r>
    </w:p>
    <w:p>
      <w:pPr>
        <w:pStyle w:val="Heading2"/>
      </w:pPr>
      <w:r>
        <w:rPr>
          <w:rFonts w:ascii="Arial" w:cs="Arial" w:eastAsia="Arial" w:hAnsi="Arial"/>
          <w:b/>
          <w:bCs/>
          <w:color w:val="2E75B6"/>
          <w:sz w:val="26"/>
          <w:szCs w:val="26"/>
        </w:rPr>
        <w:t xml:space="preserve">10.1 Infrastructure as Code</w:t>
      </w:r>
    </w:p>
    <w:p>
      <w:pPr>
        <w:spacing w:before="80" w:after="80"/>
      </w:pPr>
      <w:r>
        <w:t xml:space="preserve"/>
      </w:r>
    </w:p>
    <w:p>
      <w:pPr>
        <w:spacing w:before="80" w:after="80"/>
      </w:pPr>
      <w:r>
        <w:rPr>
          <w:rFonts w:ascii="Arial" w:cs="Arial" w:eastAsia="Arial" w:hAnsi="Arial"/>
          <w:sz w:val="20"/>
          <w:szCs w:val="20"/>
        </w:rPr>
        <w:t xml:space="preserve">All infrastructure is defined and deployed using:</w:t>
      </w:r>
    </w:p>
    <w:p>
      <w:pPr>
        <w:pStyle w:val="ListParagraph"/>
        <w:numPr>
          <w:ilvl w:val="0"/>
          <w:numId w:val="2"/>
        </w:numPr>
        <w:spacing w:before="40" w:after="40"/>
      </w:pPr>
      <w:r>
        <w:rPr>
          <w:rFonts w:ascii="Arial" w:cs="Arial" w:eastAsia="Arial" w:hAnsi="Arial"/>
          <w:sz w:val="20"/>
          <w:szCs w:val="20"/>
        </w:rPr>
        <w:t xml:space="preserve">AWS CDK (TypeScript) for all AWS resources</w:t>
      </w:r>
    </w:p>
    <w:p>
      <w:pPr>
        <w:pStyle w:val="ListParagraph"/>
        <w:numPr>
          <w:ilvl w:val="0"/>
          <w:numId w:val="2"/>
        </w:numPr>
        <w:spacing w:before="40" w:after="40"/>
      </w:pPr>
      <w:r>
        <w:rPr>
          <w:rFonts w:ascii="Arial" w:cs="Arial" w:eastAsia="Arial" w:hAnsi="Arial"/>
          <w:sz w:val="20"/>
          <w:szCs w:val="20"/>
        </w:rPr>
        <w:t xml:space="preserve">Terraform for cross-account network resources (VPC peering, Transit Gateway)</w:t>
      </w:r>
    </w:p>
    <w:p>
      <w:pPr>
        <w:pStyle w:val="ListParagraph"/>
        <w:numPr>
          <w:ilvl w:val="0"/>
          <w:numId w:val="2"/>
        </w:numPr>
        <w:spacing w:before="40" w:after="40"/>
      </w:pPr>
      <w:r>
        <w:rPr>
          <w:rFonts w:ascii="Arial" w:cs="Arial" w:eastAsia="Arial" w:hAnsi="Arial"/>
          <w:sz w:val="20"/>
          <w:szCs w:val="20"/>
        </w:rPr>
        <w:t xml:space="preserve">Helm charts for Langfuse and any containerised internal tooling</w:t>
      </w:r>
    </w:p>
    <w:p>
      <w:pPr>
        <w:pStyle w:val="ListParagraph"/>
        <w:numPr>
          <w:ilvl w:val="0"/>
          <w:numId w:val="2"/>
        </w:numPr>
        <w:spacing w:before="40" w:after="40"/>
      </w:pPr>
      <w:r>
        <w:rPr>
          <w:rFonts w:ascii="Arial" w:cs="Arial" w:eastAsia="Arial" w:hAnsi="Arial"/>
          <w:sz w:val="20"/>
          <w:szCs w:val="20"/>
        </w:rPr>
        <w:t xml:space="preserve">AWS CodePipeline for CI/CD with manual approval gates for production</w:t>
      </w:r>
    </w:p>
    <w:p>
      <w:pPr>
        <w:spacing w:before="80" w:after="80"/>
      </w:pPr>
      <w:r>
        <w:t xml:space="preserve"/>
      </w:r>
    </w:p>
    <w:p>
      <w:pPr>
        <w:pStyle w:val="Heading2"/>
      </w:pPr>
      <w:r>
        <w:rPr>
          <w:rFonts w:ascii="Arial" w:cs="Arial" w:eastAsia="Arial" w:hAnsi="Arial"/>
          <w:b/>
          <w:bCs/>
          <w:color w:val="2E75B6"/>
          <w:sz w:val="26"/>
          <w:szCs w:val="26"/>
        </w:rPr>
        <w:t xml:space="preserve">10.2 ECS Fargate Service Sizing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Service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Min Tasks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Max Tasks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Service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Min Tasks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Max Tasks (Auto-scale)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BFF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20 (CPU &gt; 60%)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API Gateway (Kong)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10 (RPS-based)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MCP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15 (queue depth)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Customer MCP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Portfolio MCP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8</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Server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8</w:t>
            </w:r>
          </w:p>
        </w:tc>
      </w:tr>
    </w:tbl>
    <w:p>
      <w:pPr>
        <w:spacing w:before="80" w:after="80"/>
      </w:pPr>
      <w:r>
        <w:t xml:space="preserve"/>
      </w:r>
    </w:p>
    <w:p>
      <w:pPr>
        <w:pStyle w:val="Heading2"/>
      </w:pPr>
      <w:r>
        <w:rPr>
          <w:rFonts w:ascii="Arial" w:cs="Arial" w:eastAsia="Arial" w:hAnsi="Arial"/>
          <w:b/>
          <w:bCs/>
          <w:color w:val="2E75B6"/>
          <w:sz w:val="26"/>
          <w:szCs w:val="26"/>
        </w:rPr>
        <w:t xml:space="preserve">10.3 Disaster Recovery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Objective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Objective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RTO (Recovery Time 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&lt; 30 minutes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RPO (Recovery Point Objective)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&lt; 5 minutes (DynamoDB PITR)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cache recovery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Redis snapshot every 5 min; acceptable session loss on DR failover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ADFS independence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JWKS cached in S3 as backup — agents can validate tokens for 24h without ADFS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DynamoDB global tables replicated to eu-central-1</w:t>
            </w:r>
          </w:p>
        </w:tc>
      </w:tr>
    </w:tbl>
    <w:p>
      <w:r>
        <w:br w:type="page"/>
      </w:r>
    </w:p>
    <w:p>
      <w:pPr>
        <w:pStyle w:val="Heading1"/>
      </w:pPr>
      <w:r>
        <w:rPr>
          <w:rFonts w:ascii="Arial" w:cs="Arial" w:eastAsia="Arial" w:hAnsi="Arial"/>
          <w:b/>
          <w:bCs/>
          <w:color w:val="1F4E79"/>
          <w:sz w:val="32"/>
          <w:szCs w:val="32"/>
        </w:rPr>
        <w:t xml:space="preserve">11. Compliance &amp; Regulatory Considerations</w:t>
      </w:r>
    </w:p>
    <w:p>
      <w:pPr>
        <w:pBdr>
          <w:bottom w:val="single" w:color="2E75B6" w:sz="6" w:space="1"/>
        </w:pBdr>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Regulation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Requirement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Implementation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Regulation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Requirement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GDPR Art.32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Appropriate technical 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TLS everywhere, KMS encryption, RBAC via FT rights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GDPR Art.25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Privacy by design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PII masking, data minimisation in MCP schemas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DORA Art.9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ICT risk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Multi-AZ, DR runbooks, chaos engineering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DORA Art.10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ICT incident classification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CloudWatch alarms → DORA incident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MiFID II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Trade audit trail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Agent trace + FT context logged for 7 years (CloudTrail + Langfuse archive)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EU AI Act (expected)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High-risk AI logging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Full Langfuse audit trail with human-in-the-loop for trade agents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NIS2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Supply chain security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ECR scanning, SBOM, signed container images</w:t>
            </w:r>
          </w:p>
        </w:tc>
      </w:tr>
    </w:tbl>
    <w:p>
      <w:r>
        <w:br w:type="page"/>
      </w:r>
    </w:p>
    <w:p>
      <w:pPr>
        <w:pStyle w:val="Heading1"/>
      </w:pPr>
      <w:r>
        <w:rPr>
          <w:rFonts w:ascii="Arial" w:cs="Arial" w:eastAsia="Arial" w:hAnsi="Arial"/>
          <w:b/>
          <w:bCs/>
          <w:color w:val="1F4E79"/>
          <w:sz w:val="32"/>
          <w:szCs w:val="32"/>
        </w:rPr>
        <w:t xml:space="preserve">12. Open Questions &amp; Decision Log</w:t>
      </w:r>
    </w:p>
    <w:p>
      <w:pPr>
        <w:pBdr>
          <w:bottom w:val="single" w:color="2E75B6" w:sz="6" w:space="1"/>
        </w:pBdr>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Question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Options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Recommendation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Question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Options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Recommendation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LLM provider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Claude 3.5 Sonnet vs Titan vs GPT-4 via Bedrock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Start with Claude 3.5 Sonnet for complex reasoning; use Titan Lite for high-volume classification tasks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FT rights real-time vs session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Session-scoped (current) vs real-time fetch per call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Session-scoped with revocation webhook (best balance of performance vs freshness)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MCP vs Lambda 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MCP servers vs direct Lambda tool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MCP for standardisation and reuse; Lambda direct for very simple one-off tools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vs AWS native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(self-hosted) vs CloudWatch Insights + X-Ray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Langfuse for LLM-specific observability; retain X-Ray for infra tracing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Agent memory strategy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In-context only vs DynamoDB vs OpenSearch RAG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Hybrid: DynamoDB for session state, OpenSearch for long-term knowledge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Multi-region active-active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Active-Active vs Active-Passive DR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Active-Passive initially; evaluate active-active after 6 months of production load data</w:t>
            </w:r>
          </w:p>
        </w:tc>
      </w:tr>
    </w:tbl>
    <w:p>
      <w:pPr>
        <w:spacing w:before="80" w:after="80"/>
      </w:pPr>
      <w:r>
        <w:t xml:space="preserve"/>
      </w:r>
    </w:p>
    <w:p>
      <w:pPr>
        <w:pStyle w:val="Heading1"/>
      </w:pPr>
      <w:r>
        <w:rPr>
          <w:rFonts w:ascii="Arial" w:cs="Arial" w:eastAsia="Arial" w:hAnsi="Arial"/>
          <w:b/>
          <w:bCs/>
          <w:color w:val="1F4E79"/>
          <w:sz w:val="32"/>
          <w:szCs w:val="32"/>
        </w:rPr>
        <w:t xml:space="preserve">Appendix A: Glossary</w:t>
      </w:r>
    </w:p>
    <w:p>
      <w:pPr>
        <w:pBdr>
          <w:bottom w:val="single" w:color="2E75B6" w:sz="6" w:space="1"/>
        </w:pBdr>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Term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ADFS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Directory Federation Services — Microsoft's identity federation service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Entra ID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Microsoft's cloud identity service (formerly Azure AD), integrated with on-premises ADFS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BFF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 for Frontend — dedicated backend service for each frontend, handling auth and aggregation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FT Rights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Feature/Functional Tenant rights — bank-specific fine-grained access control primitives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Context Protocol — standard protocol for LLM tool/function integration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JWKS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JSON Web Key Set — public keys used to validate JWT signatures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 Enforcement Point — component that enforces access control decisions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 Token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ADFS token issued to service accounts (non-human identities)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DanskeJWT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Bank's internal name for ADFS system tokens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Enriched Context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JWT that contains both ADFS claims and internally resolved FT rights, signed by BFF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Langfuse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Open-source LLM observability platform for traces, evaluations, and prompt management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SPIFFE/SPIRE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Workload identity framework for zero-trust service-to-service authentication</w:t>
            </w:r>
          </w:p>
        </w:tc>
      </w:tr>
    </w:tbl>
    <w:p>
      <w:pPr>
        <w:spacing w:before="80" w:after="80"/>
      </w:pPr>
      <w:r>
        <w:t xml:space="preserve"/>
      </w:r>
    </w:p>
    <w:p>
      <w:pPr>
        <w:pStyle w:val="Heading1"/>
      </w:pPr>
      <w:r>
        <w:rPr>
          <w:rFonts w:ascii="Arial" w:cs="Arial" w:eastAsia="Arial" w:hAnsi="Arial"/>
          <w:b/>
          <w:bCs/>
          <w:color w:val="1F4E79"/>
          <w:sz w:val="32"/>
          <w:szCs w:val="32"/>
        </w:rPr>
        <w:t xml:space="preserve">Appendix B: Key AWS Services Reference</w:t>
      </w:r>
    </w:p>
    <w:p>
      <w:pPr>
        <w:pBdr>
          <w:bottom w:val="single" w:color="2E75B6" w:sz="6" w:space="1"/>
        </w:pBdr>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AWS Service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Role in Platform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AWS Service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Role in Platform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Amazon Bedrock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LLM API + Agent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Use eu-west-1 or eu-central-1 for data residency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Amazon ECS Fargate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All application containers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Spot instances for non-critical MCP servers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Amazon ElastiCache (Redis)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Session &amp; JWKS cache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Cluster mode, Multi-AZ, TLS + AUTH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Amazon DynamoDB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Agent context &amp; conversation state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On-demand, PITR enabled, encryption at rest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Amazon API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Internal API routing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Private endpoint via VPC endpoint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AWS Secrets Manager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All secrets and credentials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Automatic rotation enabled where supported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AWS KMS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JWT signing keys, encryption keys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CMK per service, quarterly rotation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Amazon CloudWatch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Infrastructure metrics &amp; alarms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Log groups with 90-day retention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AWS X-Ray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Distributed tracing (infra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Complements Langfuse for full-stack trace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Amazon OpenSearch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Knowledge base for RAG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7"/>
                <w:szCs w:val="17"/>
              </w:rPr>
              <w:t xml:space="preserve">Managed, within VPC, FT-scoped indices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AWS CloudTrail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API audit trail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7"/>
                <w:szCs w:val="17"/>
              </w:rPr>
              <w:t xml:space="preserve">7-year retention, immutable via S3 Object Lock</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08080"/>
        <w:sz w:val="16"/>
        <w:szCs w:val="16"/>
      </w:rPr>
      <w:t xml:space="preserve">EU Bank · AWS Agentic Platform · v1.0 Draft</w:t>
    </w:r>
    <w:r>
      <w:rPr>
        <w:rFonts w:ascii="Arial" w:cs="Arial" w:eastAsia="Arial" w:hAnsi="Arial"/>
        <w:color w:val="808080"/>
        <w:sz w:val="16"/>
        <w:szCs w:val="16"/>
      </w:rP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808080"/>
        <w:sz w:val="16"/>
        <w:szCs w:val="16"/>
      </w:rPr>
      <w:t xml:space="preserve">ENTERPRISE AGENTIC PLATFORM — Architecture &amp; Security Design</w:t>
    </w:r>
    <w:r>
      <w:rPr>
        <w:rFonts w:ascii="Arial" w:cs="Arial" w:eastAsia="Arial" w:hAnsi="Arial"/>
        <w:b/>
        <w:bCs/>
        <w:color w:val="C00000"/>
        <w:sz w:val="16"/>
        <w:szCs w:val="16"/>
      </w:rPr>
      <w:t xml:space="preserve">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2026-03-13T13:08:00.157Z</dcterms:created>
  <dcterms:modified xsi:type="dcterms:W3CDTF">2026-03-13T13:08:00.157Z</dcterms:modified>
</cp:coreProperties>
</file>

<file path=docProps/custom.xml><?xml version="1.0" encoding="utf-8"?>
<Properties xmlns="http://schemas.openxmlformats.org/officeDocument/2006/custom-properties" xmlns:vt="http://schemas.openxmlformats.org/officeDocument/2006/docPropsVTypes"/>
</file>