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Arial" w:hAnsi="Arial" w:cs="Arial"/>
          <w:sz w:val="22"/>
          <w:szCs w:val="22"/>
        </w:rPr>
      </w:pPr>
    </w:p>
    <w:p>
      <w:pPr>
        <w:jc w:val="center"/>
        <w:rPr>
          <w:rFonts w:hint="default" w:ascii="Arial" w:hAnsi="Arial" w:cs="Arial"/>
          <w:b/>
          <w:sz w:val="28"/>
          <w:szCs w:val="28"/>
          <w:u w:val="single"/>
        </w:rPr>
      </w:pPr>
      <w:r>
        <w:rPr>
          <w:rFonts w:hint="default" w:ascii="Arial" w:hAnsi="Arial" w:cs="Arial"/>
          <w:b/>
          <w:sz w:val="28"/>
          <w:szCs w:val="28"/>
          <w:u w:val="single"/>
        </w:rPr>
        <w:t>Formula Sheet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Total Assets </w:t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</w:rPr>
        <w:t>= Total Liabilities + Total Equity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Stockholders’ equity </w:t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</w:rPr>
        <w:t>= Paid-in capital + Retained earning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Total debt </w:t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</w:rPr>
        <w:t>= Short-term debt + Long-term debt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</w:p>
    <w:p>
      <w:pPr>
        <w:jc w:val="left"/>
        <w:rPr>
          <w:rFonts w:hint="default" w:ascii="Arial" w:hAnsi="Arial" w:cs="Arial"/>
          <w:color w:val="40404C"/>
          <w:sz w:val="22"/>
          <w:szCs w:val="22"/>
          <w:shd w:val="pct10" w:color="auto" w:fill="FFFFFF"/>
        </w:rPr>
      </w:pPr>
      <w:r>
        <w:rPr>
          <w:rFonts w:hint="default" w:ascii="Arial" w:hAnsi="Arial" w:cs="Arial"/>
          <w:sz w:val="22"/>
          <w:szCs w:val="22"/>
        </w:rPr>
        <w:t xml:space="preserve">Total liabilities </w:t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</w:rPr>
        <w:t>= Total debt + (Accounts payable + Accruals)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EPS </w:t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</w:rPr>
        <w:t>= Net income / common shares outstanding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DPS </w:t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</w:rPr>
        <w:t>= Dividend paid to common shareholders / common shares outstanding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Book value per share </w:t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</w:rPr>
        <w:t>= Total common equity / common shares outstanding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Market price per share </w:t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</w:rPr>
        <w:t>= Total market value / common shares outstanding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Net cash flow </w:t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</w:rPr>
        <w:t>= Net income + Depreciation and Amortization</w:t>
      </w:r>
    </w:p>
    <w:p>
      <w:pPr>
        <w:spacing w:line="192" w:lineRule="auto"/>
        <w:jc w:val="left"/>
        <w:rPr>
          <w:rFonts w:hint="default" w:ascii="Arial" w:hAnsi="Arial" w:cs="Arial"/>
          <w:sz w:val="22"/>
          <w:szCs w:val="22"/>
        </w:rPr>
      </w:pPr>
    </w:p>
    <w:p>
      <w:pPr>
        <w:spacing w:line="192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Net working capital </w:t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</w:rPr>
        <w:t>= Current Assets – Current liabilities</w:t>
      </w:r>
    </w:p>
    <w:p>
      <w:pPr>
        <w:spacing w:line="192" w:lineRule="auto"/>
        <w:jc w:val="left"/>
        <w:rPr>
          <w:rFonts w:hint="default" w:ascii="Arial" w:hAnsi="Arial" w:cs="Arial"/>
          <w:sz w:val="22"/>
          <w:szCs w:val="22"/>
        </w:rPr>
      </w:pP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Net Operating working capital (NOWC)</w:t>
      </w:r>
    </w:p>
    <w:p>
      <w:pPr>
        <w:ind w:left="2880" w:leftChars="0" w:firstLine="720" w:firstLineChars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= (Current Assets – Excess Cash) – (Accounts Payable + Accruals) </w:t>
      </w:r>
    </w:p>
    <w:p>
      <w:pPr>
        <w:ind w:left="2880" w:leftChars="0" w:firstLine="720" w:firstLineChars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= (Current Assets – Excess Cash) – (Current Liabilities – Notes Payable)</w:t>
      </w:r>
    </w:p>
    <w:p>
      <w:pPr>
        <w:spacing w:line="192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                                                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After tax operating income (NOPAT) </w:t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</w:rPr>
        <w:t>= EBIT(1-Tax rate)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Operating cash flow </w:t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</w:rPr>
        <w:t>= NOPAT + Depreciation and Amortization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MVA = Difference between market value and book value of a firm’s common equity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</w:t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</w:rPr>
        <w:t>= P</w:t>
      </w:r>
      <w:r>
        <w:rPr>
          <w:rFonts w:hint="default" w:ascii="Arial" w:hAnsi="Arial" w:cs="Arial"/>
          <w:sz w:val="22"/>
          <w:szCs w:val="22"/>
          <w:vertAlign w:val="subscript"/>
        </w:rPr>
        <w:t>0</w:t>
      </w:r>
      <w:r>
        <w:rPr>
          <w:rFonts w:hint="default" w:ascii="Arial" w:hAnsi="Arial" w:cs="Arial"/>
          <w:sz w:val="22"/>
          <w:szCs w:val="22"/>
        </w:rPr>
        <w:t xml:space="preserve"> x Number of shares – Book value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</w:p>
    <w:p>
      <w:pPr>
        <w:jc w:val="left"/>
        <w:rPr>
          <w:rFonts w:hint="default" w:ascii="Arial" w:hAnsi="Arial" w:cs="Arial"/>
          <w:sz w:val="22"/>
          <w:szCs w:val="22"/>
        </w:rPr>
      </w:pP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EVA </w:t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</w:rPr>
        <w:t>= Net operating profit after taxes (NOPAT) - Annual dollar cost of capital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</w:t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</w:rPr>
        <w:t>= EBIT(1–T) - Total invested capital*After-tax percentage cost of capital(WACC)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Free Cash Flow (FCF) </w:t>
      </w:r>
    </w:p>
    <w:p>
      <w:pPr>
        <w:ind w:left="2160" w:leftChars="0" w:firstLine="720" w:firstLineChars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= Operating Cash Flow – Gross investment in operating capital </w:t>
      </w:r>
    </w:p>
    <w:p>
      <w:pPr>
        <w:ind w:left="2160" w:leftChars="0" w:firstLine="720" w:firstLineChars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= (NOPAT + D&amp;A) – [Capital expenditure + Δ NOWC]</w:t>
      </w:r>
    </w:p>
    <w:p>
      <w:pPr>
        <w:ind w:left="2160" w:leftChars="0" w:firstLine="720" w:firstLineChars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= (NOPAT + D&amp;A) – [</w:t>
      </w:r>
      <w:bookmarkStart w:id="0" w:name="OLE_LINK2"/>
      <w:r>
        <w:rPr>
          <w:rFonts w:hint="default" w:ascii="Arial" w:hAnsi="Arial" w:cs="Arial"/>
          <w:sz w:val="22"/>
          <w:szCs w:val="22"/>
        </w:rPr>
        <w:t xml:space="preserve">Δ </w:t>
      </w:r>
      <w:bookmarkEnd w:id="0"/>
      <w:r>
        <w:rPr>
          <w:rFonts w:hint="default" w:ascii="Arial" w:hAnsi="Arial" w:cs="Arial"/>
          <w:sz w:val="22"/>
          <w:szCs w:val="22"/>
        </w:rPr>
        <w:t>Gross Fixed Assets + Δ NOWC]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Current ratio </w:t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</w:rPr>
        <w:t>= current assets / current liabilities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Quick ratio </w:t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</w:rPr>
        <w:t>= (current assets – inventories) / current liabilities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</w:p>
    <w:p>
      <w:pPr>
        <w:jc w:val="left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</w:rPr>
        <w:t xml:space="preserve">Inventory turnover ratio </w:t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</w:rPr>
        <w:t xml:space="preserve">= </w:t>
      </w:r>
      <w:r>
        <w:rPr>
          <w:rFonts w:hint="default" w:ascii="Arial" w:hAnsi="Arial" w:cs="Arial"/>
          <w:sz w:val="22"/>
          <w:szCs w:val="22"/>
          <w:lang w:val="en-US"/>
        </w:rPr>
        <w:t>Cogs</w:t>
      </w:r>
      <w:r>
        <w:rPr>
          <w:rFonts w:hint="default" w:ascii="Arial" w:hAnsi="Arial" w:cs="Arial"/>
          <w:sz w:val="22"/>
          <w:szCs w:val="22"/>
        </w:rPr>
        <w:t>/ inventories</w:t>
      </w:r>
      <w:r>
        <w:rPr>
          <w:rFonts w:hint="default" w:ascii="Arial" w:hAnsi="Arial" w:cs="Arial"/>
          <w:sz w:val="22"/>
          <w:szCs w:val="22"/>
          <w:lang w:val="en-US"/>
        </w:rPr>
        <w:t xml:space="preserve"> OR Sales / Inventories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Days sales outstanding (DSO) </w:t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</w:rPr>
        <w:t>= accounts receivable / (annual sales/365))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Fixed assets turnover ratio </w:t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</w:rPr>
        <w:t>= sales / net fixed assets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Total assets turnover ratio </w:t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</w:rPr>
        <w:t>= sales / total assets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Debt-to-capital ratio </w:t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</w:rPr>
        <w:t>= total debt / total invested capital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Times-interest-earned ratio (TIE) </w:t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</w:rPr>
        <w:t>= EBIT / interest charges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Operating margin </w:t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</w:rPr>
        <w:t>= EBIT / sales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Profit margin </w:t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</w:rPr>
        <w:t>= net income / sales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Basic earning power ratio (BEP) </w:t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</w:rPr>
        <w:t>= EBIT / total assets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Return on total assets (ROA) </w:t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</w:rPr>
        <w:t>= net income / total assets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Return on common equity (ROE) </w:t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</w:rPr>
        <w:t>= net income / common equity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Return on invested capital (ROIC) </w:t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</w:rPr>
        <w:t>= EBIT(1-T) / total invested capital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Price/earnings ratio (P/E) </w:t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</w:rPr>
        <w:t>= price per share / earnings per share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Market/book ratio (M/B) </w:t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</w:rPr>
        <w:t>= market price per share / book value per share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EV/EBITDA </w:t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</w:rPr>
        <w:t>= (MV</w:t>
      </w:r>
      <w:r>
        <w:rPr>
          <w:rFonts w:hint="default" w:ascii="Arial" w:hAnsi="Arial" w:cs="Arial"/>
          <w:sz w:val="22"/>
          <w:szCs w:val="22"/>
          <w:vertAlign w:val="subscript"/>
        </w:rPr>
        <w:t>E</w:t>
      </w:r>
      <w:r>
        <w:rPr>
          <w:rFonts w:hint="default" w:ascii="Arial" w:hAnsi="Arial" w:cs="Arial"/>
          <w:sz w:val="22"/>
          <w:szCs w:val="22"/>
        </w:rPr>
        <w:t xml:space="preserve"> + MV</w:t>
      </w:r>
      <w:r>
        <w:rPr>
          <w:rFonts w:hint="default" w:ascii="Arial" w:hAnsi="Arial" w:cs="Arial"/>
          <w:sz w:val="22"/>
          <w:szCs w:val="22"/>
          <w:vertAlign w:val="subscript"/>
        </w:rPr>
        <w:t>D</w:t>
      </w:r>
      <w:r>
        <w:rPr>
          <w:rFonts w:hint="default" w:ascii="Arial" w:hAnsi="Arial" w:cs="Arial"/>
          <w:sz w:val="22"/>
          <w:szCs w:val="22"/>
        </w:rPr>
        <w:t xml:space="preserve"> +MV</w:t>
      </w:r>
      <w:r>
        <w:rPr>
          <w:rFonts w:hint="default" w:ascii="Arial" w:hAnsi="Arial" w:cs="Arial"/>
          <w:sz w:val="22"/>
          <w:szCs w:val="22"/>
          <w:vertAlign w:val="subscript"/>
        </w:rPr>
        <w:t>Claims</w:t>
      </w:r>
      <w:r>
        <w:rPr>
          <w:rFonts w:hint="default" w:ascii="Arial" w:hAnsi="Arial" w:cs="Arial"/>
          <w:sz w:val="22"/>
          <w:szCs w:val="22"/>
        </w:rPr>
        <w:t xml:space="preserve"> – Cash and Equivalents)/EBITDA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    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DuPont equation: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ROE </w:t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</w:rPr>
        <w:t>= ROA * equity multiplier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</w:t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</w:rPr>
        <w:t>= Profit margin * Total assets turnover * Equity multiplier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Equity multiplier </w:t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</w:r>
      <w:bookmarkStart w:id="1" w:name="_GoBack"/>
      <w:bookmarkEnd w:id="1"/>
      <w:r>
        <w:rPr>
          <w:rFonts w:hint="default" w:ascii="Arial" w:hAnsi="Arial" w:cs="Arial"/>
          <w:sz w:val="22"/>
          <w:szCs w:val="22"/>
        </w:rPr>
        <w:t xml:space="preserve">= Total assets / Total common equity     </w:t>
      </w:r>
    </w:p>
    <w:p>
      <w:pPr>
        <w:jc w:val="left"/>
        <w:rPr>
          <w:rFonts w:hint="default" w:ascii="Arial" w:hAnsi="Arial" w:cs="Arial"/>
        </w:rPr>
      </w:pPr>
    </w:p>
    <w:sectPr>
      <w:footerReference r:id="rId3" w:type="default"/>
      <w:footerReference r:id="rId4" w:type="even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miri Quran">
    <w:panose1 w:val="00000500000000000000"/>
    <w:charset w:val="00"/>
    <w:family w:val="auto"/>
    <w:pitch w:val="default"/>
    <w:sig w:usb0="80002043" w:usb1="80002000" w:usb2="00000000" w:usb3="00000000" w:csb0="0000004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  <w:lang/>
      </w:rPr>
      <w:t>2</w:t>
    </w:r>
    <w:r>
      <w:rPr>
        <w:rStyle w:val="5"/>
      </w:rPr>
      <w:fldChar w:fldCharType="end"/>
    </w:r>
  </w:p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  <w:lang/>
      </w:rPr>
      <w:t>1</w:t>
    </w:r>
    <w:r>
      <w:rPr>
        <w:rStyle w:val="5"/>
      </w:rPr>
      <w:fldChar w:fldCharType="end"/>
    </w:r>
  </w:p>
  <w:p>
    <w:pPr>
      <w:pStyle w:val="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00"/>
  <w:displayHorizontalDrawingGridEvery w:val="2"/>
  <w:displayVerticalDrawingGridEvery w:val="1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2D7C"/>
    <w:rsid w:val="0004314A"/>
    <w:rsid w:val="00065C76"/>
    <w:rsid w:val="0007199B"/>
    <w:rsid w:val="00190535"/>
    <w:rsid w:val="001A4D69"/>
    <w:rsid w:val="001C2F95"/>
    <w:rsid w:val="002028AC"/>
    <w:rsid w:val="00221449"/>
    <w:rsid w:val="00251A2C"/>
    <w:rsid w:val="00362A32"/>
    <w:rsid w:val="00365A64"/>
    <w:rsid w:val="003B459C"/>
    <w:rsid w:val="003B5791"/>
    <w:rsid w:val="00401986"/>
    <w:rsid w:val="004039D7"/>
    <w:rsid w:val="0040499E"/>
    <w:rsid w:val="00412E36"/>
    <w:rsid w:val="00417974"/>
    <w:rsid w:val="004707F4"/>
    <w:rsid w:val="00491F86"/>
    <w:rsid w:val="004A4E93"/>
    <w:rsid w:val="004B6263"/>
    <w:rsid w:val="004E727D"/>
    <w:rsid w:val="004F71F5"/>
    <w:rsid w:val="0050495F"/>
    <w:rsid w:val="005066D9"/>
    <w:rsid w:val="0056253B"/>
    <w:rsid w:val="00567BF3"/>
    <w:rsid w:val="005943C9"/>
    <w:rsid w:val="005949C8"/>
    <w:rsid w:val="005C2C40"/>
    <w:rsid w:val="005C7FF8"/>
    <w:rsid w:val="005D3F2A"/>
    <w:rsid w:val="00607099"/>
    <w:rsid w:val="0062228C"/>
    <w:rsid w:val="00637485"/>
    <w:rsid w:val="00642B5A"/>
    <w:rsid w:val="00670404"/>
    <w:rsid w:val="00686762"/>
    <w:rsid w:val="006A19ED"/>
    <w:rsid w:val="006A3990"/>
    <w:rsid w:val="00706690"/>
    <w:rsid w:val="00710B9E"/>
    <w:rsid w:val="0073319F"/>
    <w:rsid w:val="007504D9"/>
    <w:rsid w:val="007A3F1E"/>
    <w:rsid w:val="007B5DBE"/>
    <w:rsid w:val="007B6AAD"/>
    <w:rsid w:val="008202F4"/>
    <w:rsid w:val="0083739D"/>
    <w:rsid w:val="00892AC2"/>
    <w:rsid w:val="008A4E0F"/>
    <w:rsid w:val="008C0DC4"/>
    <w:rsid w:val="008C43AD"/>
    <w:rsid w:val="008E552C"/>
    <w:rsid w:val="00951847"/>
    <w:rsid w:val="00982FB6"/>
    <w:rsid w:val="00985E52"/>
    <w:rsid w:val="009B0B82"/>
    <w:rsid w:val="009B4279"/>
    <w:rsid w:val="009B46DD"/>
    <w:rsid w:val="009C2686"/>
    <w:rsid w:val="009C713E"/>
    <w:rsid w:val="00A02928"/>
    <w:rsid w:val="00A2343F"/>
    <w:rsid w:val="00A43E83"/>
    <w:rsid w:val="00A56354"/>
    <w:rsid w:val="00A81930"/>
    <w:rsid w:val="00A857F0"/>
    <w:rsid w:val="00AB0C55"/>
    <w:rsid w:val="00AB6B48"/>
    <w:rsid w:val="00AC2D7C"/>
    <w:rsid w:val="00B912D7"/>
    <w:rsid w:val="00B94A72"/>
    <w:rsid w:val="00B963B1"/>
    <w:rsid w:val="00BB3627"/>
    <w:rsid w:val="00C0307F"/>
    <w:rsid w:val="00C1073E"/>
    <w:rsid w:val="00C84184"/>
    <w:rsid w:val="00CE2E60"/>
    <w:rsid w:val="00CE6B14"/>
    <w:rsid w:val="00CF120C"/>
    <w:rsid w:val="00D16F1C"/>
    <w:rsid w:val="00D235C0"/>
    <w:rsid w:val="00D523EF"/>
    <w:rsid w:val="00D65AEA"/>
    <w:rsid w:val="00D705E4"/>
    <w:rsid w:val="00D7460D"/>
    <w:rsid w:val="00D81E83"/>
    <w:rsid w:val="00D85CCF"/>
    <w:rsid w:val="00DC3D1F"/>
    <w:rsid w:val="00DE1F5D"/>
    <w:rsid w:val="00DF0B1C"/>
    <w:rsid w:val="00E11958"/>
    <w:rsid w:val="00E225C4"/>
    <w:rsid w:val="00E3084F"/>
    <w:rsid w:val="00E412B6"/>
    <w:rsid w:val="00E47FDC"/>
    <w:rsid w:val="00E62803"/>
    <w:rsid w:val="00E70025"/>
    <w:rsid w:val="00E83FF0"/>
    <w:rsid w:val="00EB174A"/>
    <w:rsid w:val="00EE4629"/>
    <w:rsid w:val="00EF4AE2"/>
    <w:rsid w:val="00F32BAB"/>
    <w:rsid w:val="00F730C8"/>
    <w:rsid w:val="00F73D1D"/>
    <w:rsid w:val="00FA0B70"/>
    <w:rsid w:val="00FB2F94"/>
    <w:rsid w:val="00FD2172"/>
    <w:rsid w:val="00FD3926"/>
    <w:rsid w:val="00FE1055"/>
    <w:rsid w:val="00FE58C4"/>
    <w:rsid w:val="1FE23C0F"/>
    <w:rsid w:val="2E9662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ourier New" w:hAnsi="Courier New" w:eastAsia="Times New Roman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4">
    <w:name w:val="footer"/>
    <w:basedOn w:val="1"/>
    <w:uiPriority w:val="0"/>
    <w:pPr>
      <w:tabs>
        <w:tab w:val="center" w:pos="4320"/>
        <w:tab w:val="right" w:pos="8640"/>
      </w:tabs>
    </w:pPr>
  </w:style>
  <w:style w:type="character" w:styleId="5">
    <w:name w:val="page number"/>
    <w:basedOn w:val="2"/>
    <w:uiPriority w:val="0"/>
  </w:style>
  <w:style w:type="paragraph" w:styleId="6">
    <w:name w:val="List Paragraph"/>
    <w:basedOn w:val="1"/>
    <w:qFormat/>
    <w:uiPriority w:val="34"/>
    <w:pPr>
      <w:widowControl/>
      <w:ind w:left="720"/>
      <w:contextualSpacing/>
    </w:pPr>
    <w:rPr>
      <w:rFonts w:ascii="Times New Roman" w:hAnsi="Times New Roman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2</Pages>
  <Words>391</Words>
  <Characters>2233</Characters>
  <Lines>18</Lines>
  <Paragraphs>5</Paragraphs>
  <TotalTime>5</TotalTime>
  <ScaleCrop>false</ScaleCrop>
  <LinksUpToDate>false</LinksUpToDate>
  <CharactersWithSpaces>2619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2009-01-22T22:46:00Z</dcterms:created>
  <dc:creator>Priscilla</dc:creator>
  <cp:lastModifiedBy>giorah</cp:lastModifiedBy>
  <dcterms:modified xsi:type="dcterms:W3CDTF">2022-01-20T18:02:49Z</dcterms:modified>
  <dc:title>Formula Sheet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3B8C95D2AFEC4A7195CA9A45932F35E8</vt:lpwstr>
  </property>
</Properties>
</file>