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6134A"/>
          <w:sz w:val="20"/>
          <w:szCs w:val="20"/>
        </w:rPr>
        <w:t xml:space="preserve">TIKTOK · LOCAL FEEDS</w:t>
      </w:r>
    </w:p>
    <w:p>
      <w:pPr>
        <w:spacing w:after="40"/>
      </w:pPr>
      <w:r>
        <w:rPr>
          <w:rFonts w:ascii="Arial" w:cs="Arial" w:eastAsia="Arial" w:hAnsi="Arial"/>
          <w:b/>
          <w:bCs/>
          <w:color w:val="1A1A1A"/>
          <w:sz w:val="48"/>
          <w:szCs w:val="48"/>
        </w:rPr>
        <w:t xml:space="preserve">Right Here.</w:t>
      </w:r>
    </w:p>
    <w:p>
      <w:pPr>
        <w:spacing w:after="300"/>
      </w:pPr>
      <w:r>
        <w:rPr>
          <w:i/>
          <w:iCs/>
          <w:color w:val="5C5C5C"/>
          <w:sz w:val="24"/>
          <w:szCs w:val="24"/>
        </w:rPr>
        <w:t xml:space="preserve">A feature-adoption campaign concept for TikTok's Local Feeds</w:t>
      </w:r>
    </w:p>
    <w:p>
      <w:pPr>
        <w:pStyle w:val="Heading1"/>
        <w:spacing w:after="140" w:before="320"/>
      </w:pPr>
      <w:r>
        <w:rPr>
          <w:b/>
          <w:bCs/>
          <w:color w:val="D6134A"/>
        </w:rPr>
        <w:t xml:space="preserve">Campaign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F3F3F3" w:val="clear"/>
            <w:tcMar>
              <w:top w:type="dxa" w:w="100"/>
              <w:left w:type="dxa" w:w="120"/>
              <w:bottom w:type="dxa" w:w="100"/>
              <w:right w:type="dxa" w:w="120"/>
            </w:tcMar>
          </w:tcPr>
          <w:p>
            <w:r>
              <w:rPr>
                <w:b/>
                <w:bCs/>
                <w:color w:val="D6134A"/>
                <w:sz w:val="20"/>
                <w:szCs w:val="20"/>
              </w:rPr>
              <w:t xml:space="preserve">Feature</w:t>
            </w:r>
          </w:p>
        </w:tc>
        <w:tc>
          <w:tcPr>
            <w:tcW w:type="pct" w:w="75%"/>
            <w:shd w:fill="F3F3F3" w:val="clear"/>
            <w:tcMar>
              <w:top w:type="dxa" w:w="100"/>
              <w:left w:type="dxa" w:w="120"/>
              <w:bottom w:type="dxa" w:w="100"/>
              <w:right w:type="dxa" w:w="120"/>
            </w:tcMar>
          </w:tcPr>
          <w:p>
            <w:r>
              <w:rPr>
                <w:b w:val="false"/>
                <w:bCs w:val="false"/>
                <w:color w:val="1A1A1A"/>
                <w:sz w:val="20"/>
                <w:szCs w:val="20"/>
              </w:rPr>
              <w:t xml:space="preserve">TikTok — Local Feeds (location-based discovery, 18+, US launch Feb 2026)</w:t>
            </w:r>
          </w:p>
        </w:tc>
      </w:tr>
      <w:tr>
        <w:tc>
          <w:tcPr>
            <w:tcW w:type="pct" w:w="25%"/>
            <w:shd w:fill="FFFFFF" w:val="clear"/>
            <w:tcMar>
              <w:top w:type="dxa" w:w="100"/>
              <w:left w:type="dxa" w:w="120"/>
              <w:bottom w:type="dxa" w:w="100"/>
              <w:right w:type="dxa" w:w="120"/>
            </w:tcMar>
          </w:tcPr>
          <w:p>
            <w:r>
              <w:rPr>
                <w:b/>
                <w:bCs/>
                <w:color w:val="D6134A"/>
                <w:sz w:val="20"/>
                <w:szCs w:val="20"/>
              </w:rPr>
              <w:t xml:space="preserve">Goal</w:t>
            </w:r>
          </w:p>
        </w:tc>
        <w:tc>
          <w:tcPr>
            <w:tcW w:type="pct" w:w="75%"/>
            <w:shd w:fill="FFFFFF" w:val="clear"/>
            <w:tcMar>
              <w:top w:type="dxa" w:w="100"/>
              <w:left w:type="dxa" w:w="120"/>
              <w:bottom w:type="dxa" w:w="100"/>
              <w:right w:type="dxa" w:w="120"/>
            </w:tcMar>
          </w:tcPr>
          <w:p>
            <w:r>
              <w:rPr>
                <w:b w:val="false"/>
                <w:bCs w:val="false"/>
                <w:color w:val="1A1A1A"/>
                <w:sz w:val="20"/>
                <w:szCs w:val="20"/>
              </w:rPr>
              <w:t xml:space="preserve">Feature adoption on both sides: users opting in, and local businesses/creators tagging location consistently</w:t>
            </w:r>
          </w:p>
        </w:tc>
      </w:tr>
      <w:tr>
        <w:tc>
          <w:tcPr>
            <w:tcW w:type="pct" w:w="25%"/>
            <w:shd w:fill="F3F3F3" w:val="clear"/>
            <w:tcMar>
              <w:top w:type="dxa" w:w="100"/>
              <w:left w:type="dxa" w:w="120"/>
              <w:bottom w:type="dxa" w:w="100"/>
              <w:right w:type="dxa" w:w="120"/>
            </w:tcMar>
          </w:tcPr>
          <w:p>
            <w:r>
              <w:rPr>
                <w:b/>
                <w:bCs/>
                <w:color w:val="D6134A"/>
                <w:sz w:val="20"/>
                <w:szCs w:val="20"/>
              </w:rPr>
              <w:t xml:space="preserve">Audience</w:t>
            </w:r>
          </w:p>
        </w:tc>
        <w:tc>
          <w:tcPr>
            <w:tcW w:type="pct" w:w="75%"/>
            <w:shd w:fill="F3F3F3" w:val="clear"/>
            <w:tcMar>
              <w:top w:type="dxa" w:w="100"/>
              <w:left w:type="dxa" w:w="120"/>
              <w:bottom w:type="dxa" w:w="100"/>
              <w:right w:type="dxa" w:w="120"/>
            </w:tcMar>
          </w:tcPr>
          <w:p>
            <w:r>
              <w:rPr>
                <w:b w:val="false"/>
                <w:bCs w:val="false"/>
                <w:color w:val="1A1A1A"/>
                <w:sz w:val="20"/>
                <w:szCs w:val="20"/>
              </w:rPr>
              <w:t xml:space="preserve">Two-sided: everyday TikTok users seeking local discovery, and small businesses/local creators seeking visibility</w:t>
            </w:r>
          </w:p>
        </w:tc>
      </w:tr>
      <w:tr>
        <w:tc>
          <w:tcPr>
            <w:tcW w:type="pct" w:w="25%"/>
            <w:shd w:fill="FFFFFF" w:val="clear"/>
            <w:tcMar>
              <w:top w:type="dxa" w:w="100"/>
              <w:left w:type="dxa" w:w="120"/>
              <w:bottom w:type="dxa" w:w="100"/>
              <w:right w:type="dxa" w:w="120"/>
            </w:tcMar>
          </w:tcPr>
          <w:p>
            <w:r>
              <w:rPr>
                <w:b/>
                <w:bCs/>
                <w:color w:val="D6134A"/>
                <w:sz w:val="20"/>
                <w:szCs w:val="20"/>
              </w:rPr>
              <w:t xml:space="preserve">Budget (assumed)</w:t>
            </w:r>
          </w:p>
        </w:tc>
        <w:tc>
          <w:tcPr>
            <w:tcW w:type="pct" w:w="75%"/>
            <w:shd w:fill="FFFFFF" w:val="clear"/>
            <w:tcMar>
              <w:top w:type="dxa" w:w="100"/>
              <w:left w:type="dxa" w:w="120"/>
              <w:bottom w:type="dxa" w:w="100"/>
              <w:right w:type="dxa" w:w="120"/>
            </w:tcMar>
          </w:tcPr>
          <w:p>
            <w:r>
              <w:rPr>
                <w:b w:val="false"/>
                <w:bCs w:val="false"/>
                <w:color w:val="1A1A1A"/>
                <w:sz w:val="20"/>
                <w:szCs w:val="20"/>
              </w:rPr>
              <w:t xml:space="preserve">$25,000+ over 6 weeks</w:t>
            </w:r>
          </w:p>
        </w:tc>
      </w:tr>
      <w:tr>
        <w:tc>
          <w:tcPr>
            <w:tcW w:type="pct" w:w="25%"/>
            <w:shd w:fill="F3F3F3" w:val="clear"/>
            <w:tcMar>
              <w:top w:type="dxa" w:w="100"/>
              <w:left w:type="dxa" w:w="120"/>
              <w:bottom w:type="dxa" w:w="100"/>
              <w:right w:type="dxa" w:w="120"/>
            </w:tcMar>
          </w:tcPr>
          <w:p>
            <w:r>
              <w:rPr>
                <w:b/>
                <w:bCs/>
                <w:color w:val="D6134A"/>
                <w:sz w:val="20"/>
                <w:szCs w:val="20"/>
              </w:rPr>
              <w:t xml:space="preserve">Core insight</w:t>
            </w:r>
          </w:p>
        </w:tc>
        <w:tc>
          <w:tcPr>
            <w:tcW w:type="pct" w:w="75%"/>
            <w:shd w:fill="F3F3F3" w:val="clear"/>
            <w:tcMar>
              <w:top w:type="dxa" w:w="100"/>
              <w:left w:type="dxa" w:w="120"/>
              <w:bottom w:type="dxa" w:w="100"/>
              <w:right w:type="dxa" w:w="120"/>
            </w:tcMar>
          </w:tcPr>
          <w:p>
            <w:r>
              <w:rPr>
                <w:b w:val="false"/>
                <w:bCs w:val="false"/>
                <w:color w:val="1A1A1A"/>
                <w:sz w:val="20"/>
                <w:szCs w:val="20"/>
              </w:rPr>
              <w:t xml:space="preserve">People already use TikTok to find out what's good nearby. Local Feeds gives that behavior a dedicated home, but neither side knows it exists yet.</w:t>
            </w:r>
          </w:p>
        </w:tc>
      </w:tr>
    </w:tbl>
    <w:p>
      <w:pPr>
        <w:pStyle w:val="Heading1"/>
        <w:spacing w:after="140" w:before="320"/>
      </w:pPr>
      <w:r>
        <w:rPr>
          <w:b/>
          <w:bCs/>
          <w:color w:val="D6134A"/>
        </w:rPr>
        <w:t xml:space="preserve">Feature Grounding</w:t>
      </w:r>
    </w:p>
    <w:p>
      <w:pPr>
        <w:spacing w:after="160"/>
      </w:pPr>
      <w:r>
        <w:rPr>
          <w:color w:val="1A1A1A"/>
          <w:sz w:val="22"/>
          <w:szCs w:val="22"/>
        </w:rPr>
        <w:t xml:space="preserve">Local Feeds launched in February 2026 as TikTok's first new US feature following its ownership transition to TikTok USDS Joint Venture LLC. It mirrors the “Nearby Feeds” feature already live in the UK and Europe. Content surfaces based on location, topic relevance, and recency, and posts from private or friends-only accounts are excluded. It's opt-in and limited to users 18 and older.</w:t>
      </w:r>
    </w:p>
    <w:p>
      <w:pPr>
        <w:pStyle w:val="Heading1"/>
        <w:spacing w:after="140" w:before="320"/>
      </w:pPr>
      <w:r>
        <w:rPr>
          <w:b/>
          <w:bCs/>
          <w:color w:val="D6134A"/>
        </w:rPr>
        <w:t xml:space="preserve">The Big Idea</w:t>
      </w:r>
    </w:p>
    <w:p>
      <w:pPr>
        <w:spacing w:after="160"/>
      </w:pPr>
      <w:r>
        <w:rPr>
          <w:color w:val="1A1A1A"/>
          <w:sz w:val="22"/>
          <w:szCs w:val="22"/>
        </w:rPr>
        <w:t xml:space="preserve">“Right Here.” doesn't sell Local Feeds as a new feature. It sells the specific feeling of realizing the best plan tonight was three blocks away the whole time. The campaign treats the feature as something that was always missing rather than something new to learn, consistent with the idea that the strongest campaigns surface what's already true instead of inventing a message from nothing.</w:t>
      </w:r>
    </w:p>
    <w:p>
      <w:pPr>
        <w:pStyle w:val="Heading1"/>
        <w:spacing w:after="140" w:before="320"/>
      </w:pPr>
      <w:r>
        <w:rPr>
          <w:b/>
          <w:bCs/>
          <w:color w:val="D6134A"/>
        </w:rPr>
        <w:t xml:space="preserve">Strategy &amp; Deliverables</w:t>
      </w:r>
    </w:p>
    <w:p>
      <w:pPr>
        <w:pStyle w:val="ListParagraph"/>
        <w:numPr>
          <w:ilvl w:val="0"/>
          <w:numId w:val="2"/>
        </w:numPr>
        <w:spacing w:after="80"/>
      </w:pPr>
      <w:r>
        <w:rPr>
          <w:color w:val="1A1A1A"/>
          <w:sz w:val="22"/>
          <w:szCs w:val="22"/>
        </w:rPr>
        <w:t xml:space="preserve">Consumer-facing rollout — short-form content showing real “found it on Local Feeds” discovery moments (a pop-up, a new menu item, a free class), driving opt-in.</w:t>
      </w:r>
    </w:p>
    <w:p>
      <w:pPr>
        <w:pStyle w:val="ListParagraph"/>
        <w:numPr>
          <w:ilvl w:val="0"/>
          <w:numId w:val="2"/>
        </w:numPr>
        <w:spacing w:after="80"/>
      </w:pPr>
      <w:r>
        <w:rPr>
          <w:color w:val="1A1A1A"/>
          <w:sz w:val="22"/>
          <w:szCs w:val="22"/>
        </w:rPr>
        <w:t xml:space="preserve">Small business and creator toolkit — a practical one-pager on how to get featured (location tagging, posting cadence, content ideas), distributed directly to TikTok Shop sellers and verified local business accounts.</w:t>
      </w:r>
    </w:p>
    <w:p>
      <w:pPr>
        <w:pStyle w:val="ListParagraph"/>
        <w:numPr>
          <w:ilvl w:val="0"/>
          <w:numId w:val="2"/>
        </w:numPr>
        <w:spacing w:after="80"/>
      </w:pPr>
      <w:r>
        <w:rPr>
          <w:color w:val="1A1A1A"/>
          <w:sz w:val="22"/>
          <w:szCs w:val="22"/>
        </w:rPr>
        <w:t xml:space="preserve">In-app UI moment — a first-time prompt when a user opts into Local Feeds, previewing a few real nearby posts before they even start scrolling, to sell the feature's value in the first five seconds.</w:t>
      </w:r>
    </w:p>
    <w:p>
      <w:pPr>
        <w:pStyle w:val="Heading1"/>
        <w:spacing w:after="140" w:before="320"/>
      </w:pPr>
      <w:r>
        <w:rPr>
          <w:b/>
          <w:bCs/>
          <w:color w:val="D6134A"/>
        </w:rPr>
        <w:t xml:space="preserve">Execution: What Was Built</w:t>
      </w:r>
    </w:p>
    <w:p>
      <w:pPr>
        <w:spacing w:after="160"/>
      </w:pPr>
      <w:r>
        <w:rPr>
          <w:color w:val="1A1A1A"/>
          <w:sz w:val="22"/>
          <w:szCs w:val="22"/>
        </w:rPr>
        <w:t xml:space="preserve">Two deliverables were prototyped for this concept:</w:t>
      </w:r>
    </w:p>
    <w:p>
      <w:pPr>
        <w:pStyle w:val="ListParagraph"/>
        <w:numPr>
          <w:ilvl w:val="0"/>
          <w:numId w:val="2"/>
        </w:numPr>
        <w:spacing w:after="80"/>
      </w:pPr>
      <w:r>
        <w:rPr>
          <w:color w:val="1A1A1A"/>
          <w:sz w:val="22"/>
          <w:szCs w:val="22"/>
        </w:rPr>
        <w:t xml:space="preserve">An interactive phone-screen mockup of the actual Local Feeds interface, styled as a real neighborhood feed — see “tiktok-local-feeds-mockup.html”.</w:t>
      </w:r>
    </w:p>
    <w:p>
      <w:pPr>
        <w:pStyle w:val="ListParagraph"/>
        <w:numPr>
          <w:ilvl w:val="0"/>
          <w:numId w:val="2"/>
        </w:numPr>
        <w:spacing w:after="80"/>
      </w:pPr>
      <w:r>
        <w:rPr>
          <w:color w:val="1A1A1A"/>
          <w:sz w:val="22"/>
          <w:szCs w:val="22"/>
        </w:rPr>
        <w:t xml:space="preserve">A one-page “Get Found Nearby” toolkit for small businesses and local creators, with concrete tagging tips and content ideas — see “get-found-nearby-toolkit.docx”.</w:t>
      </w:r>
    </w:p>
    <w:p>
      <w:pPr>
        <w:pStyle w:val="Heading1"/>
        <w:spacing w:after="140" w:before="320"/>
      </w:pPr>
      <w:r>
        <w:rPr>
          <w:b/>
          <w:bCs/>
          <w:color w:val="D6134A"/>
        </w:rPr>
        <w:t xml:space="preserve">Measurement</w:t>
      </w:r>
    </w:p>
    <w:p>
      <w:pPr>
        <w:spacing w:after="160"/>
      </w:pPr>
      <w:r>
        <w:rPr>
          <w:color w:val="1A1A1A"/>
          <w:sz w:val="22"/>
          <w:szCs w:val="22"/>
        </w:rPr>
        <w:t xml:space="preserve">Since this is a two-sided adoption campaign, measurement tracks both audiences separately:</w:t>
      </w:r>
    </w:p>
    <w:p>
      <w:pPr>
        <w:pStyle w:val="ListParagraph"/>
        <w:numPr>
          <w:ilvl w:val="0"/>
          <w:numId w:val="2"/>
        </w:numPr>
        <w:spacing w:after="80"/>
      </w:pPr>
      <w:r>
        <w:rPr>
          <w:color w:val="1A1A1A"/>
          <w:sz w:val="22"/>
          <w:szCs w:val="22"/>
        </w:rPr>
        <w:t xml:space="preserve">Consumer side: Local Feeds opt-in rate among exposed users, and time spent in the Local tab post-opt-in</w:t>
      </w:r>
    </w:p>
    <w:p>
      <w:pPr>
        <w:pStyle w:val="ListParagraph"/>
        <w:numPr>
          <w:ilvl w:val="0"/>
          <w:numId w:val="2"/>
        </w:numPr>
        <w:spacing w:after="80"/>
      </w:pPr>
      <w:r>
        <w:rPr>
          <w:color w:val="1A1A1A"/>
          <w:sz w:val="22"/>
          <w:szCs w:val="22"/>
        </w:rPr>
        <w:t xml:space="preserve">Business/creator side: location-tag usage rate following toolkit distribution</w:t>
      </w:r>
    </w:p>
    <w:p>
      <w:pPr>
        <w:pStyle w:val="ListParagraph"/>
        <w:numPr>
          <w:ilvl w:val="0"/>
          <w:numId w:val="2"/>
        </w:numPr>
        <w:spacing w:after="80"/>
      </w:pPr>
      <w:r>
        <w:rPr>
          <w:color w:val="1A1A1A"/>
          <w:sz w:val="22"/>
          <w:szCs w:val="22"/>
        </w:rPr>
        <w:t xml:space="preserve">Cross-side: click-through from a Local Feeds post to a business profile or storefront</w:t>
      </w:r>
    </w:p>
    <w:p>
      <w:pPr>
        <w:pStyle w:val="ListParagraph"/>
        <w:numPr>
          <w:ilvl w:val="0"/>
          <w:numId w:val="2"/>
        </w:numPr>
        <w:spacing w:after="80"/>
      </w:pPr>
      <w:r>
        <w:rPr>
          <w:color w:val="1A1A1A"/>
          <w:sz w:val="22"/>
          <w:szCs w:val="22"/>
        </w:rPr>
        <w:t xml:space="preserve">Overall: 7-day return rate to the Local tab after first use</w:t>
      </w:r>
    </w:p>
    <w:p>
      <w:pPr>
        <w:pStyle w:val="Heading1"/>
        <w:spacing w:after="140" w:before="320"/>
      </w:pPr>
      <w:r>
        <w:rPr>
          <w:b/>
          <w:bCs/>
          <w:color w:val="D6134A"/>
        </w:rPr>
        <w:t xml:space="preserve">Why This Fits The Feature</w:t>
      </w:r>
    </w:p>
    <w:p>
      <w:pPr>
        <w:pStyle w:val="ListParagraph"/>
        <w:numPr>
          <w:ilvl w:val="0"/>
          <w:numId w:val="2"/>
        </w:numPr>
        <w:spacing w:after="80"/>
      </w:pPr>
      <w:r>
        <w:rPr>
          <w:color w:val="1A1A1A"/>
          <w:sz w:val="22"/>
          <w:szCs w:val="22"/>
        </w:rPr>
        <w:t xml:space="preserve">Addresses both sides of a two-sided feature instead of only the consumer-facing half</w:t>
      </w:r>
    </w:p>
    <w:p>
      <w:pPr>
        <w:pStyle w:val="ListParagraph"/>
        <w:numPr>
          <w:ilvl w:val="0"/>
          <w:numId w:val="2"/>
        </w:numPr>
        <w:spacing w:after="80"/>
      </w:pPr>
      <w:r>
        <w:rPr>
          <w:color w:val="1A1A1A"/>
          <w:sz w:val="22"/>
          <w:szCs w:val="22"/>
        </w:rPr>
        <w:t xml:space="preserve">Uses a real, current launch (Feb 2026) rather than a hypothetical feature</w:t>
      </w:r>
    </w:p>
    <w:p>
      <w:pPr>
        <w:pStyle w:val="ListParagraph"/>
        <w:numPr>
          <w:ilvl w:val="0"/>
          <w:numId w:val="2"/>
        </w:numPr>
        <w:spacing w:after="80"/>
      </w:pPr>
      <w:r>
        <w:rPr>
          <w:color w:val="1A1A1A"/>
          <w:sz w:val="22"/>
          <w:szCs w:val="22"/>
        </w:rPr>
        <w:t xml:space="preserve">Gives small businesses something immediately actionable (the toolkit) rather than only brand messaging, which is closer to how a platform would actually support this launch</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2026-08-13T23:09:48.318Z</dcterms:created>
  <dcterms:modified xsi:type="dcterms:W3CDTF">2026-08-13T23:09:48.318Z</dcterms:modified>
</cp:coreProperties>
</file>

<file path=docProps/custom.xml><?xml version="1.0" encoding="utf-8"?>
<Properties xmlns="http://schemas.openxmlformats.org/officeDocument/2006/custom-properties" xmlns:vt="http://schemas.openxmlformats.org/officeDocument/2006/docPropsVTypes"/>
</file>