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C7714"/>
          <w:sz w:val="20"/>
          <w:szCs w:val="20"/>
        </w:rPr>
        <w:t xml:space="preserve">VICKS DAYQUIL / NYQUIL HONEY</w:t>
      </w:r>
    </w:p>
    <w:p>
      <w:pPr>
        <w:spacing w:after="40"/>
      </w:pPr>
      <w:r>
        <w:rPr>
          <w:rFonts w:ascii="Arial" w:cs="Arial" w:eastAsia="Arial" w:hAnsi="Arial"/>
          <w:b/>
          <w:bCs/>
          <w:color w:val="2A2420"/>
          <w:sz w:val="46"/>
          <w:szCs w:val="46"/>
        </w:rPr>
        <w:t xml:space="preserve">Honey, You're Covered.</w:t>
      </w:r>
    </w:p>
    <w:p>
      <w:pPr>
        <w:spacing w:after="300"/>
      </w:pPr>
      <w:r>
        <w:rPr>
          <w:i/>
          <w:iCs/>
          <w:color w:val="6B6355"/>
          <w:sz w:val="24"/>
          <w:szCs w:val="24"/>
        </w:rPr>
        <w:t xml:space="preserve">A go-to-market campaign concept for the DayQuil/NyQuil Honey line extension</w:t>
      </w:r>
    </w:p>
    <w:p>
      <w:pPr>
        <w:pStyle w:val="Heading1"/>
        <w:spacing w:after="140" w:before="320"/>
      </w:pPr>
      <w:r>
        <w:rPr>
          <w:b/>
          <w:bCs/>
          <w:color w:val="9C7714"/>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F5EAD1" w:val="clear"/>
            <w:tcMar>
              <w:top w:type="dxa" w:w="100"/>
              <w:left w:type="dxa" w:w="120"/>
              <w:bottom w:type="dxa" w:w="100"/>
              <w:right w:type="dxa" w:w="120"/>
            </w:tcMar>
          </w:tcPr>
          <w:p>
            <w:r>
              <w:rPr>
                <w:b/>
                <w:bCs/>
                <w:color w:val="9C7714"/>
                <w:sz w:val="20"/>
                <w:szCs w:val="20"/>
              </w:rPr>
              <w:t xml:space="preserve">Brand</w:t>
            </w:r>
          </w:p>
        </w:tc>
        <w:tc>
          <w:tcPr>
            <w:tcW w:type="pct" w:w="75%"/>
            <w:shd w:fill="F5EAD1" w:val="clear"/>
            <w:tcMar>
              <w:top w:type="dxa" w:w="100"/>
              <w:left w:type="dxa" w:w="120"/>
              <w:bottom w:type="dxa" w:w="100"/>
              <w:right w:type="dxa" w:w="120"/>
            </w:tcMar>
          </w:tcPr>
          <w:p>
            <w:r>
              <w:rPr>
                <w:b w:val="false"/>
                <w:bCs w:val="false"/>
                <w:color w:val="2A2420"/>
                <w:sz w:val="20"/>
                <w:szCs w:val="20"/>
              </w:rPr>
              <w:t xml:space="preserve">Vicks DayQuil / NyQuil — Honey line extension</w:t>
            </w:r>
          </w:p>
        </w:tc>
      </w:tr>
      <w:tr>
        <w:tc>
          <w:tcPr>
            <w:tcW w:type="pct" w:w="25%"/>
            <w:shd w:fill="FFFFFF" w:val="clear"/>
            <w:tcMar>
              <w:top w:type="dxa" w:w="100"/>
              <w:left w:type="dxa" w:w="120"/>
              <w:bottom w:type="dxa" w:w="100"/>
              <w:right w:type="dxa" w:w="120"/>
            </w:tcMar>
          </w:tcPr>
          <w:p>
            <w:r>
              <w:rPr>
                <w:b/>
                <w:bCs/>
                <w:color w:val="9C7714"/>
                <w:sz w:val="20"/>
                <w:szCs w:val="20"/>
              </w:rPr>
              <w:t xml:space="preserve">Goal</w:t>
            </w:r>
          </w:p>
        </w:tc>
        <w:tc>
          <w:tcPr>
            <w:tcW w:type="pct" w:w="75%"/>
            <w:shd w:fill="FFFFFF" w:val="clear"/>
            <w:tcMar>
              <w:top w:type="dxa" w:w="100"/>
              <w:left w:type="dxa" w:w="120"/>
              <w:bottom w:type="dxa" w:w="100"/>
              <w:right w:type="dxa" w:w="120"/>
            </w:tcMar>
          </w:tcPr>
          <w:p>
            <w:r>
              <w:rPr>
                <w:b w:val="false"/>
                <w:bCs w:val="false"/>
                <w:color w:val="2A2420"/>
                <w:sz w:val="20"/>
                <w:szCs w:val="20"/>
              </w:rPr>
              <w:t xml:space="preserve">GTM launch — drive trial among category buyers who cite taste as a purchase barrier</w:t>
            </w:r>
          </w:p>
        </w:tc>
      </w:tr>
      <w:tr>
        <w:tc>
          <w:tcPr>
            <w:tcW w:type="pct" w:w="25%"/>
            <w:shd w:fill="F5EAD1" w:val="clear"/>
            <w:tcMar>
              <w:top w:type="dxa" w:w="100"/>
              <w:left w:type="dxa" w:w="120"/>
              <w:bottom w:type="dxa" w:w="100"/>
              <w:right w:type="dxa" w:w="120"/>
            </w:tcMar>
          </w:tcPr>
          <w:p>
            <w:r>
              <w:rPr>
                <w:b/>
                <w:bCs/>
                <w:color w:val="9C7714"/>
                <w:sz w:val="20"/>
                <w:szCs w:val="20"/>
              </w:rPr>
              <w:t xml:space="preserve">Audience</w:t>
            </w:r>
          </w:p>
        </w:tc>
        <w:tc>
          <w:tcPr>
            <w:tcW w:type="pct" w:w="75%"/>
            <w:shd w:fill="F5EAD1" w:val="clear"/>
            <w:tcMar>
              <w:top w:type="dxa" w:w="100"/>
              <w:left w:type="dxa" w:w="120"/>
              <w:bottom w:type="dxa" w:w="100"/>
              <w:right w:type="dxa" w:w="120"/>
            </w:tcMar>
          </w:tcPr>
          <w:p>
            <w:r>
              <w:rPr>
                <w:b w:val="false"/>
                <w:bCs w:val="false"/>
                <w:color w:val="2A2420"/>
                <w:sz w:val="20"/>
                <w:szCs w:val="20"/>
              </w:rPr>
              <w:t xml:space="preserve">Existing cold-and-flu medicine buyers, reached primarily at the pharmacy shelf</w:t>
            </w:r>
          </w:p>
        </w:tc>
      </w:tr>
      <w:tr>
        <w:tc>
          <w:tcPr>
            <w:tcW w:type="pct" w:w="25%"/>
            <w:shd w:fill="FFFFFF" w:val="clear"/>
            <w:tcMar>
              <w:top w:type="dxa" w:w="100"/>
              <w:left w:type="dxa" w:w="120"/>
              <w:bottom w:type="dxa" w:w="100"/>
              <w:right w:type="dxa" w:w="120"/>
            </w:tcMar>
          </w:tcPr>
          <w:p>
            <w:r>
              <w:rPr>
                <w:b/>
                <w:bCs/>
                <w:color w:val="9C7714"/>
                <w:sz w:val="20"/>
                <w:szCs w:val="20"/>
              </w:rPr>
              <w:t xml:space="preserve">Timeline</w:t>
            </w:r>
          </w:p>
        </w:tc>
        <w:tc>
          <w:tcPr>
            <w:tcW w:type="pct" w:w="75%"/>
            <w:shd w:fill="FFFFFF" w:val="clear"/>
            <w:tcMar>
              <w:top w:type="dxa" w:w="100"/>
              <w:left w:type="dxa" w:w="120"/>
              <w:bottom w:type="dxa" w:w="100"/>
              <w:right w:type="dxa" w:w="120"/>
            </w:tcMar>
          </w:tcPr>
          <w:p>
            <w:r>
              <w:rPr>
                <w:b w:val="false"/>
                <w:bCs w:val="false"/>
                <w:color w:val="2A2420"/>
                <w:sz w:val="20"/>
                <w:szCs w:val="20"/>
              </w:rPr>
              <w:t xml:space="preserve">12-week phased rollout, timed to peak cold-and-flu season</w:t>
            </w:r>
          </w:p>
        </w:tc>
      </w:tr>
      <w:tr>
        <w:tc>
          <w:tcPr>
            <w:tcW w:type="pct" w:w="25%"/>
            <w:shd w:fill="F5EAD1" w:val="clear"/>
            <w:tcMar>
              <w:top w:type="dxa" w:w="100"/>
              <w:left w:type="dxa" w:w="120"/>
              <w:bottom w:type="dxa" w:w="100"/>
              <w:right w:type="dxa" w:w="120"/>
            </w:tcMar>
          </w:tcPr>
          <w:p>
            <w:r>
              <w:rPr>
                <w:b/>
                <w:bCs/>
                <w:color w:val="9C7714"/>
                <w:sz w:val="20"/>
                <w:szCs w:val="20"/>
              </w:rPr>
              <w:t xml:space="preserve">Core insight</w:t>
            </w:r>
          </w:p>
        </w:tc>
        <w:tc>
          <w:tcPr>
            <w:tcW w:type="pct" w:w="75%"/>
            <w:shd w:fill="F5EAD1" w:val="clear"/>
            <w:tcMar>
              <w:top w:type="dxa" w:w="100"/>
              <w:left w:type="dxa" w:w="120"/>
              <w:bottom w:type="dxa" w:w="100"/>
              <w:right w:type="dxa" w:w="120"/>
            </w:tcMar>
          </w:tcPr>
          <w:p>
            <w:r>
              <w:rPr>
                <w:b w:val="false"/>
                <w:bCs w:val="false"/>
                <w:color w:val="2A2420"/>
                <w:sz w:val="20"/>
                <w:szCs w:val="20"/>
              </w:rPr>
              <w:t xml:space="preserve">The category's biggest objection isn't efficacy, it's taste. Honey solves that with an ingredient people already trust as a home remedy.</w:t>
            </w:r>
          </w:p>
        </w:tc>
      </w:tr>
    </w:tbl>
    <w:p>
      <w:pPr>
        <w:pStyle w:val="Heading1"/>
        <w:spacing w:after="140" w:before="320"/>
      </w:pPr>
      <w:r>
        <w:rPr>
          <w:b/>
          <w:bCs/>
          <w:color w:val="9C7714"/>
        </w:rPr>
        <w:t xml:space="preserve">Brand Grounding</w:t>
      </w:r>
    </w:p>
    <w:p>
      <w:pPr>
        <w:spacing w:after="160"/>
      </w:pPr>
      <w:r>
        <w:rPr>
          <w:color w:val="2A2420"/>
          <w:sz w:val="22"/>
          <w:szCs w:val="22"/>
        </w:rPr>
        <w:t xml:space="preserve">DayQuil and NyQuil already carry one of the strongest structural assets in the OTC cold-and-flu category: a genuinely ownable day/night pairing (orange for day, blue for night) that no competitor, including Theraflu, Mucinex, or Claritin, can replicate. Vicks has extended the line into a Honey variant, adding a coating, soothing benefit alongside a flavor consumers already associate with home remedies. The brand's historic taglines, “Get back your day” for DayQuil and “Get the sleep you need to feel better” for NyQuil, already center the emotional outcome over the ingredient list, which this launch builds on rather than replaces.</w:t>
      </w:r>
    </w:p>
    <w:p>
      <w:pPr>
        <w:pStyle w:val="Heading1"/>
        <w:spacing w:after="140" w:before="320"/>
      </w:pPr>
      <w:r>
        <w:rPr>
          <w:b/>
          <w:bCs/>
          <w:color w:val="9C7714"/>
        </w:rPr>
        <w:t xml:space="preserve">The Big Idea</w:t>
      </w:r>
    </w:p>
    <w:p>
      <w:pPr>
        <w:spacing w:after="160"/>
      </w:pPr>
      <w:r>
        <w:rPr>
          <w:color w:val="2A2420"/>
          <w:sz w:val="22"/>
          <w:szCs w:val="22"/>
        </w:rPr>
        <w:t xml:space="preserve">“Honey, You're Covered.” plays on “honey” as both the ingredient and a term of endearment, bridging two kinds of trust that don't usually overlap in this category: the homey, grandmother's-remedy comfort of honey, and the clinical reliability people already associate with Vicks. It directly answers the single biggest reason people avoid dosing up on cold medicine, that it tastes unpleasant, without asking the brand to invent new credibility from scratch.</w:t>
      </w:r>
    </w:p>
    <w:p>
      <w:pPr>
        <w:pStyle w:val="Heading1"/>
        <w:spacing w:after="140" w:before="320"/>
      </w:pPr>
      <w:r>
        <w:rPr>
          <w:b/>
          <w:bCs/>
          <w:color w:val="9C7714"/>
        </w:rPr>
        <w:t xml:space="preserve">Strategy &amp; Deliverables</w:t>
      </w:r>
    </w:p>
    <w:p>
      <w:pPr>
        <w:pStyle w:val="ListParagraph"/>
        <w:numPr>
          <w:ilvl w:val="0"/>
          <w:numId w:val="2"/>
        </w:numPr>
        <w:spacing w:after="80"/>
      </w:pPr>
      <w:r>
        <w:rPr>
          <w:color w:val="2A2420"/>
          <w:sz w:val="22"/>
          <w:szCs w:val="22"/>
        </w:rPr>
        <w:t xml:space="preserve">Phased GTM roadmap — a 12-week rollout across trade, retail, and consumer touchpoints, sequenced around pre-launch sell-in, launch-week shelf presence, and a sustain phase that defends shelf space through the season.</w:t>
      </w:r>
    </w:p>
    <w:p>
      <w:pPr>
        <w:pStyle w:val="ListParagraph"/>
        <w:numPr>
          <w:ilvl w:val="0"/>
          <w:numId w:val="2"/>
        </w:numPr>
        <w:spacing w:after="80"/>
      </w:pPr>
      <w:r>
        <w:rPr>
          <w:color w:val="2A2420"/>
          <w:sz w:val="22"/>
          <w:szCs w:val="22"/>
        </w:rPr>
        <w:t xml:space="preserve">Retail end-cap and shelf-talker concept — places the Honey variant directly beside the core DayQuil/NyQuil line rather than as a separate display, since this is overwhelmingly an in-aisle, side-by-side purchase decision.</w:t>
      </w:r>
    </w:p>
    <w:p>
      <w:pPr>
        <w:pStyle w:val="ListParagraph"/>
        <w:numPr>
          <w:ilvl w:val="0"/>
          <w:numId w:val="2"/>
        </w:numPr>
        <w:spacing w:after="80"/>
      </w:pPr>
      <w:r>
        <w:rPr>
          <w:color w:val="2A2420"/>
          <w:sz w:val="22"/>
          <w:szCs w:val="22"/>
        </w:rPr>
        <w:t xml:space="preserve">Trade sell-in materials — shelf-share data framed around the taste objection, giving pharmacy and grocery buyers a clear reason to commit end-cap space ahead of cold season.</w:t>
      </w:r>
    </w:p>
    <w:p>
      <w:pPr>
        <w:pStyle w:val="Heading1"/>
        <w:spacing w:after="140" w:before="320"/>
      </w:pPr>
      <w:r>
        <w:rPr>
          <w:b/>
          <w:bCs/>
          <w:color w:val="9C7714"/>
        </w:rPr>
        <w:t xml:space="preserve">Execution: What Was Built</w:t>
      </w:r>
    </w:p>
    <w:p>
      <w:pPr>
        <w:spacing w:after="160"/>
      </w:pPr>
      <w:r>
        <w:rPr>
          <w:color w:val="2A2420"/>
          <w:sz w:val="22"/>
          <w:szCs w:val="22"/>
        </w:rPr>
        <w:t xml:space="preserve">Two deliverables were prototyped for this concept:</w:t>
      </w:r>
    </w:p>
    <w:p>
      <w:pPr>
        <w:pStyle w:val="ListParagraph"/>
        <w:numPr>
          <w:ilvl w:val="0"/>
          <w:numId w:val="2"/>
        </w:numPr>
        <w:spacing w:after="80"/>
      </w:pPr>
      <w:r>
        <w:rPr>
          <w:color w:val="2A2420"/>
          <w:sz w:val="22"/>
          <w:szCs w:val="22"/>
        </w:rPr>
        <w:t xml:space="preserve">A three-phase GTM launch roadmap covering trade, retail, and consumer tactics across pre-launch, launch week, and sustain — see “dayquil-nyquil-gtm-roadmap.html”.</w:t>
      </w:r>
    </w:p>
    <w:p>
      <w:pPr>
        <w:pStyle w:val="ListParagraph"/>
        <w:numPr>
          <w:ilvl w:val="0"/>
          <w:numId w:val="2"/>
        </w:numPr>
        <w:spacing w:after="80"/>
      </w:pPr>
      <w:r>
        <w:rPr>
          <w:color w:val="2A2420"/>
          <w:sz w:val="22"/>
          <w:szCs w:val="22"/>
        </w:rPr>
        <w:t xml:space="preserve">A retail end-cap and shelf-talker mockup showing Honey variants placed alongside the core line — see “dayquil-nyquil-retail-mockup.html”.</w:t>
      </w:r>
    </w:p>
    <w:p>
      <w:pPr>
        <w:pStyle w:val="Heading1"/>
        <w:spacing w:after="140" w:before="320"/>
      </w:pPr>
      <w:r>
        <w:rPr>
          <w:b/>
          <w:bCs/>
          <w:color w:val="9C7714"/>
        </w:rPr>
        <w:t xml:space="preserve">Measurement</w:t>
      </w:r>
    </w:p>
    <w:p>
      <w:pPr>
        <w:spacing w:after="160"/>
      </w:pPr>
      <w:r>
        <w:rPr>
          <w:color w:val="2A2420"/>
          <w:sz w:val="22"/>
          <w:szCs w:val="22"/>
        </w:rPr>
        <w:t xml:space="preserve">As a GTM launch, measurement spans trade and consumer outcomes:</w:t>
      </w:r>
    </w:p>
    <w:p>
      <w:pPr>
        <w:pStyle w:val="ListParagraph"/>
        <w:numPr>
          <w:ilvl w:val="0"/>
          <w:numId w:val="2"/>
        </w:numPr>
        <w:spacing w:after="80"/>
      </w:pPr>
      <w:r>
        <w:rPr>
          <w:color w:val="2A2420"/>
          <w:sz w:val="22"/>
          <w:szCs w:val="22"/>
        </w:rPr>
        <w:t xml:space="preserve">Sell-through rate of Honey variants versus core-line SKUs during the launch window</w:t>
      </w:r>
    </w:p>
    <w:p>
      <w:pPr>
        <w:pStyle w:val="ListParagraph"/>
        <w:numPr>
          <w:ilvl w:val="0"/>
          <w:numId w:val="2"/>
        </w:numPr>
        <w:spacing w:after="80"/>
      </w:pPr>
      <w:r>
        <w:rPr>
          <w:color w:val="2A2420"/>
          <w:sz w:val="22"/>
          <w:szCs w:val="22"/>
        </w:rPr>
        <w:t xml:space="preserve">Incremental household penetration among past core-line-only buyers</w:t>
      </w:r>
    </w:p>
    <w:p>
      <w:pPr>
        <w:pStyle w:val="ListParagraph"/>
        <w:numPr>
          <w:ilvl w:val="0"/>
          <w:numId w:val="2"/>
        </w:numPr>
        <w:spacing w:after="80"/>
      </w:pPr>
      <w:r>
        <w:rPr>
          <w:color w:val="2A2420"/>
          <w:sz w:val="22"/>
          <w:szCs w:val="22"/>
        </w:rPr>
        <w:t xml:space="preserve">Retail partner reorder rate as a signal for defending shelf space post-launch</w:t>
      </w:r>
    </w:p>
    <w:p>
      <w:pPr>
        <w:pStyle w:val="ListParagraph"/>
        <w:numPr>
          <w:ilvl w:val="0"/>
          <w:numId w:val="2"/>
        </w:numPr>
        <w:spacing w:after="80"/>
      </w:pPr>
      <w:r>
        <w:rPr>
          <w:color w:val="2A2420"/>
          <w:sz w:val="22"/>
          <w:szCs w:val="22"/>
        </w:rPr>
        <w:t xml:space="preserve">Search and social listening around taste-objection language, to confirm the message is landing on the right barrier</w:t>
      </w:r>
    </w:p>
    <w:p>
      <w:pPr>
        <w:pStyle w:val="Heading1"/>
        <w:spacing w:after="140" w:before="320"/>
      </w:pPr>
      <w:r>
        <w:rPr>
          <w:b/>
          <w:bCs/>
          <w:color w:val="9C7714"/>
        </w:rPr>
        <w:t xml:space="preserve">Why This Fits The Brand</w:t>
      </w:r>
    </w:p>
    <w:p>
      <w:pPr>
        <w:pStyle w:val="ListParagraph"/>
        <w:numPr>
          <w:ilvl w:val="0"/>
          <w:numId w:val="2"/>
        </w:numPr>
        <w:spacing w:after="80"/>
      </w:pPr>
      <w:r>
        <w:rPr>
          <w:color w:val="2A2420"/>
          <w:sz w:val="22"/>
          <w:szCs w:val="22"/>
        </w:rPr>
        <w:t xml:space="preserve">Builds on a real, existing line extension rather than a hypothetical product</w:t>
      </w:r>
    </w:p>
    <w:p>
      <w:pPr>
        <w:pStyle w:val="ListParagraph"/>
        <w:numPr>
          <w:ilvl w:val="0"/>
          <w:numId w:val="2"/>
        </w:numPr>
        <w:spacing w:after="80"/>
      </w:pPr>
      <w:r>
        <w:rPr>
          <w:color w:val="2A2420"/>
          <w:sz w:val="22"/>
          <w:szCs w:val="22"/>
        </w:rPr>
        <w:t xml:space="preserve">Uses the brand's own established emotional territory (comfort, care) instead of introducing a new one</w:t>
      </w:r>
    </w:p>
    <w:p>
      <w:pPr>
        <w:pStyle w:val="ListParagraph"/>
        <w:numPr>
          <w:ilvl w:val="0"/>
          <w:numId w:val="2"/>
        </w:numPr>
        <w:spacing w:after="80"/>
      </w:pPr>
      <w:r>
        <w:rPr>
          <w:color w:val="2A2420"/>
          <w:sz w:val="22"/>
          <w:szCs w:val="22"/>
        </w:rPr>
        <w:t xml:space="preserve">Treats this explicitly as a retail-first, trade-inclusive launch, appropriate for a category where the purchase decision happens almost entirely in the pharmacy aisle rather than online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2026-09-16T23:55:01.212Z</dcterms:created>
  <dcterms:modified xsi:type="dcterms:W3CDTF">2026-09-16T23:55:01.221Z</dcterms:modified>
</cp:coreProperties>
</file>

<file path=docProps/custom.xml><?xml version="1.0" encoding="utf-8"?>
<Properties xmlns="http://schemas.openxmlformats.org/officeDocument/2006/custom-properties" xmlns:vt="http://schemas.openxmlformats.org/officeDocument/2006/docPropsVTypes"/>
</file>