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E9532B"/>
          <w:sz w:val="20"/>
          <w:szCs w:val="20"/>
        </w:rPr>
        <w:t xml:space="preserve">MAJOR LEAGUE CRICKET (MLC)</w:t>
      </w:r>
    </w:p>
    <w:p>
      <w:pPr>
        <w:spacing w:after="40"/>
      </w:pPr>
      <w:r>
        <w:rPr>
          <w:rFonts w:ascii="Arial" w:cs="Arial" w:eastAsia="Arial" w:hAnsi="Arial"/>
          <w:b/>
          <w:bCs/>
          <w:color w:val="0F2C4C"/>
          <w:sz w:val="48"/>
          <w:szCs w:val="48"/>
        </w:rPr>
        <w:t xml:space="preserve">Your First Six.</w:t>
      </w:r>
    </w:p>
    <w:p>
      <w:pPr>
        <w:spacing w:after="300"/>
      </w:pPr>
      <w:r>
        <w:rPr>
          <w:i/>
          <w:iCs/>
          <w:color w:val="5C6675"/>
          <w:sz w:val="24"/>
          <w:szCs w:val="24"/>
        </w:rPr>
        <w:t xml:space="preserve">A new-fan acquisition campaign concept for Major League Cricket</w:t>
      </w:r>
    </w:p>
    <w:p>
      <w:pPr>
        <w:pStyle w:val="Heading1"/>
        <w:spacing w:after="140" w:before="320"/>
      </w:pPr>
      <w:r>
        <w:rPr>
          <w:b/>
          <w:bCs/>
          <w:color w:val="0F2C4C"/>
        </w:rPr>
        <w:t xml:space="preserve">Campaign Brief</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7500"/>
      </w:tblGrid>
      <w:tr>
        <w:tc>
          <w:tcPr>
            <w:tcW w:type="pct" w:w="25%"/>
            <w:shd w:fill="F4F1EA" w:val="clear"/>
            <w:tcMar>
              <w:top w:type="dxa" w:w="100"/>
              <w:left w:type="dxa" w:w="120"/>
              <w:bottom w:type="dxa" w:w="100"/>
              <w:right w:type="dxa" w:w="120"/>
            </w:tcMar>
          </w:tcPr>
          <w:p>
            <w:r>
              <w:rPr>
                <w:b/>
                <w:bCs/>
                <w:color w:val="0F2C4C"/>
                <w:sz w:val="20"/>
                <w:szCs w:val="20"/>
              </w:rPr>
              <w:t xml:space="preserve">League</w:t>
            </w:r>
          </w:p>
        </w:tc>
        <w:tc>
          <w:tcPr>
            <w:tcW w:type="pct" w:w="75%"/>
            <w:shd w:fill="F4F1EA" w:val="clear"/>
            <w:tcMar>
              <w:top w:type="dxa" w:w="100"/>
              <w:left w:type="dxa" w:w="120"/>
              <w:bottom w:type="dxa" w:w="100"/>
              <w:right w:type="dxa" w:w="120"/>
            </w:tcMar>
          </w:tcPr>
          <w:p>
            <w:r>
              <w:rPr>
                <w:b w:val="false"/>
                <w:bCs w:val="false"/>
                <w:color w:val="1B2430"/>
                <w:sz w:val="20"/>
                <w:szCs w:val="20"/>
              </w:rPr>
              <w:t xml:space="preserve">Major League Cricket (MLC) — Twenty20, six U.S. franchises</w:t>
            </w:r>
          </w:p>
        </w:tc>
      </w:tr>
      <w:tr>
        <w:tc>
          <w:tcPr>
            <w:tcW w:type="pct" w:w="25%"/>
            <w:shd w:fill="FFFFFF" w:val="clear"/>
            <w:tcMar>
              <w:top w:type="dxa" w:w="100"/>
              <w:left w:type="dxa" w:w="120"/>
              <w:bottom w:type="dxa" w:w="100"/>
              <w:right w:type="dxa" w:w="120"/>
            </w:tcMar>
          </w:tcPr>
          <w:p>
            <w:r>
              <w:rPr>
                <w:b/>
                <w:bCs/>
                <w:color w:val="0F2C4C"/>
                <w:sz w:val="20"/>
                <w:szCs w:val="20"/>
              </w:rPr>
              <w:t xml:space="preserve">Goal</w:t>
            </w:r>
          </w:p>
        </w:tc>
        <w:tc>
          <w:tcPr>
            <w:tcW w:type="pct" w:w="75%"/>
            <w:shd w:fill="FFFFFF" w:val="clear"/>
            <w:tcMar>
              <w:top w:type="dxa" w:w="100"/>
              <w:left w:type="dxa" w:w="120"/>
              <w:bottom w:type="dxa" w:w="100"/>
              <w:right w:type="dxa" w:w="120"/>
            </w:tcMar>
          </w:tcPr>
          <w:p>
            <w:r>
              <w:rPr>
                <w:b w:val="false"/>
                <w:bCs w:val="false"/>
                <w:color w:val="1B2430"/>
                <w:sz w:val="20"/>
                <w:szCs w:val="20"/>
              </w:rPr>
              <w:t xml:space="preserve">New-fan acquisition — convert casual scrollers unfamiliar with cricket into first-time ticket buyers</w:t>
            </w:r>
          </w:p>
        </w:tc>
      </w:tr>
      <w:tr>
        <w:tc>
          <w:tcPr>
            <w:tcW w:type="pct" w:w="25%"/>
            <w:shd w:fill="F4F1EA" w:val="clear"/>
            <w:tcMar>
              <w:top w:type="dxa" w:w="100"/>
              <w:left w:type="dxa" w:w="120"/>
              <w:bottom w:type="dxa" w:w="100"/>
              <w:right w:type="dxa" w:w="120"/>
            </w:tcMar>
          </w:tcPr>
          <w:p>
            <w:r>
              <w:rPr>
                <w:b/>
                <w:bCs/>
                <w:color w:val="0F2C4C"/>
                <w:sz w:val="20"/>
                <w:szCs w:val="20"/>
              </w:rPr>
              <w:t xml:space="preserve">Audience</w:t>
            </w:r>
          </w:p>
        </w:tc>
        <w:tc>
          <w:tcPr>
            <w:tcW w:type="pct" w:w="75%"/>
            <w:shd w:fill="F4F1EA" w:val="clear"/>
            <w:tcMar>
              <w:top w:type="dxa" w:w="100"/>
              <w:left w:type="dxa" w:w="120"/>
              <w:bottom w:type="dxa" w:w="100"/>
              <w:right w:type="dxa" w:w="120"/>
            </w:tcMar>
          </w:tcPr>
          <w:p>
            <w:r>
              <w:rPr>
                <w:b w:val="false"/>
                <w:bCs w:val="false"/>
                <w:color w:val="1B2430"/>
                <w:sz w:val="20"/>
                <w:szCs w:val="20"/>
              </w:rPr>
              <w:t xml:space="preserve">American sports fans with no cricket background, reached primarily on TikTok/Reels</w:t>
            </w:r>
          </w:p>
        </w:tc>
      </w:tr>
      <w:tr>
        <w:tc>
          <w:tcPr>
            <w:tcW w:type="pct" w:w="25%"/>
            <w:shd w:fill="FFFFFF" w:val="clear"/>
            <w:tcMar>
              <w:top w:type="dxa" w:w="100"/>
              <w:left w:type="dxa" w:w="120"/>
              <w:bottom w:type="dxa" w:w="100"/>
              <w:right w:type="dxa" w:w="120"/>
            </w:tcMar>
          </w:tcPr>
          <w:p>
            <w:r>
              <w:rPr>
                <w:b/>
                <w:bCs/>
                <w:color w:val="0F2C4C"/>
                <w:sz w:val="20"/>
                <w:szCs w:val="20"/>
              </w:rPr>
              <w:t xml:space="preserve">Budget (assumed)</w:t>
            </w:r>
          </w:p>
        </w:tc>
        <w:tc>
          <w:tcPr>
            <w:tcW w:type="pct" w:w="75%"/>
            <w:shd w:fill="FFFFFF" w:val="clear"/>
            <w:tcMar>
              <w:top w:type="dxa" w:w="100"/>
              <w:left w:type="dxa" w:w="120"/>
              <w:bottom w:type="dxa" w:w="100"/>
              <w:right w:type="dxa" w:w="120"/>
            </w:tcMar>
          </w:tcPr>
          <w:p>
            <w:r>
              <w:rPr>
                <w:b w:val="false"/>
                <w:bCs w:val="false"/>
                <w:color w:val="1B2430"/>
                <w:sz w:val="20"/>
                <w:szCs w:val="20"/>
              </w:rPr>
              <w:t xml:space="preserve">$30,000+ media and production over 6 weeks, timed to Season 5 lead-up</w:t>
            </w:r>
          </w:p>
        </w:tc>
      </w:tr>
      <w:tr>
        <w:tc>
          <w:tcPr>
            <w:tcW w:type="pct" w:w="25%"/>
            <w:shd w:fill="F4F1EA" w:val="clear"/>
            <w:tcMar>
              <w:top w:type="dxa" w:w="100"/>
              <w:left w:type="dxa" w:w="120"/>
              <w:bottom w:type="dxa" w:w="100"/>
              <w:right w:type="dxa" w:w="120"/>
            </w:tcMar>
          </w:tcPr>
          <w:p>
            <w:r>
              <w:rPr>
                <w:b/>
                <w:bCs/>
                <w:color w:val="0F2C4C"/>
                <w:sz w:val="20"/>
                <w:szCs w:val="20"/>
              </w:rPr>
              <w:t xml:space="preserve">Core insight</w:t>
            </w:r>
          </w:p>
        </w:tc>
        <w:tc>
          <w:tcPr>
            <w:tcW w:type="pct" w:w="75%"/>
            <w:shd w:fill="F4F1EA" w:val="clear"/>
            <w:tcMar>
              <w:top w:type="dxa" w:w="100"/>
              <w:left w:type="dxa" w:w="120"/>
              <w:bottom w:type="dxa" w:w="100"/>
              <w:right w:type="dxa" w:w="120"/>
            </w:tcMar>
          </w:tcPr>
          <w:p>
            <w:r>
              <w:rPr>
                <w:b w:val="false"/>
                <w:bCs w:val="false"/>
                <w:color w:val="1B2430"/>
                <w:sz w:val="20"/>
                <w:szCs w:val="20"/>
              </w:rPr>
              <w:t xml:space="preserve">84% of MLC Season 3 ticket buyers were first-timers. The league's real growth engine is new-fan conversion, not deepening existing fandom.</w:t>
            </w:r>
          </w:p>
        </w:tc>
      </w:tr>
    </w:tbl>
    <w:p>
      <w:pPr>
        <w:pStyle w:val="Heading1"/>
        <w:spacing w:after="140" w:before="320"/>
      </w:pPr>
      <w:r>
        <w:rPr>
          <w:b/>
          <w:bCs/>
          <w:color w:val="0F2C4C"/>
        </w:rPr>
        <w:t xml:space="preserve">League Grounding</w:t>
      </w:r>
    </w:p>
    <w:p>
      <w:pPr>
        <w:spacing w:after="160"/>
      </w:pPr>
      <w:r>
        <w:rPr>
          <w:color w:val="1B2430"/>
          <w:sz w:val="22"/>
          <w:szCs w:val="22"/>
        </w:rPr>
        <w:t xml:space="preserve">MLC Season 3 (2025) set records for ticket sales, up 53% year-on-year, with broadcast reach into more than 90 countries, and 84% of ticket purchasers attending their first-ever MLC game. Season 4 (2026) ran six franchises (Los Angeles Knight Riders, MI New York, San Francisco Unicorns, Seattle Orcas, Texas Super Kings, Washington Freedom) across venues including a new stop in Pomona, California, with the championship final held for the first time at the Oakland Coliseum. The league has stated plans to expand to eight teams by 2027, with early discussions about a Canadian franchise.</w:t>
      </w:r>
    </w:p>
    <w:p>
      <w:pPr>
        <w:pStyle w:val="Heading1"/>
        <w:spacing w:after="140" w:before="320"/>
      </w:pPr>
      <w:r>
        <w:rPr>
          <w:b/>
          <w:bCs/>
          <w:color w:val="0F2C4C"/>
        </w:rPr>
        <w:t xml:space="preserve">The Big Idea</w:t>
      </w:r>
    </w:p>
    <w:p>
      <w:pPr>
        <w:spacing w:after="160"/>
      </w:pPr>
      <w:r>
        <w:rPr>
          <w:color w:val="1B2430"/>
          <w:sz w:val="22"/>
          <w:szCs w:val="22"/>
        </w:rPr>
        <w:t xml:space="preserve">A “six” is cricket's version of a home run, which makes it a natural double meaning for a newcomer campaign: “Your First Six.” Rather than trying to teach the rules of cricket, the campaign sells the format's speed and spectacle, T20 matches run about three hours with constant action, a sharp contrast to the multi-day Test cricket stereotype that keeps new American sports fans away. The league's own data shows this approach already works; the campaign just makes the pitch explicit.</w:t>
      </w:r>
    </w:p>
    <w:p>
      <w:pPr>
        <w:pStyle w:val="Heading1"/>
        <w:spacing w:after="140" w:before="320"/>
      </w:pPr>
      <w:r>
        <w:rPr>
          <w:b/>
          <w:bCs/>
          <w:color w:val="0F2C4C"/>
        </w:rPr>
        <w:t xml:space="preserve">Strategy &amp; Deliverables</w:t>
      </w:r>
    </w:p>
    <w:p>
      <w:pPr>
        <w:pStyle w:val="ListParagraph"/>
        <w:numPr>
          <w:ilvl w:val="0"/>
          <w:numId w:val="2"/>
        </w:numPr>
        <w:spacing w:after="80"/>
      </w:pPr>
      <w:r>
        <w:rPr>
          <w:color w:val="1B2430"/>
          <w:sz w:val="22"/>
          <w:szCs w:val="22"/>
        </w:rPr>
        <w:t xml:space="preserve">30-second vertical video spot for TikTok/Reels — leads with the spectacle (a six being hit, a stadium erupting) before any explanation, and uses the 84%-first-timers stat as social proof rather than a rules crash course.</w:t>
      </w:r>
    </w:p>
    <w:p>
      <w:pPr>
        <w:pStyle w:val="ListParagraph"/>
        <w:numPr>
          <w:ilvl w:val="0"/>
          <w:numId w:val="2"/>
        </w:numPr>
        <w:spacing w:after="80"/>
      </w:pPr>
      <w:r>
        <w:rPr>
          <w:color w:val="1B2430"/>
          <w:sz w:val="22"/>
          <w:szCs w:val="22"/>
        </w:rPr>
        <w:t xml:space="preserve">Paid social distribution targeted at fans of fast-paced American sports (basketball, football) who have shown no prior cricket affinity, treating this explicitly as an acquisition audience rather than a retention one.</w:t>
      </w:r>
    </w:p>
    <w:p>
      <w:pPr>
        <w:pStyle w:val="ListParagraph"/>
        <w:numPr>
          <w:ilvl w:val="0"/>
          <w:numId w:val="2"/>
        </w:numPr>
        <w:spacing w:after="80"/>
      </w:pPr>
      <w:r>
        <w:rPr>
          <w:color w:val="1B2430"/>
          <w:sz w:val="22"/>
          <w:szCs w:val="22"/>
        </w:rPr>
        <w:t xml:space="preserve">Retargeting sequence for video viewers who watch past the “six” moment, serving a ticket-purchase follow-up ad timed to the nearest home market.</w:t>
      </w:r>
    </w:p>
    <w:p>
      <w:pPr>
        <w:pStyle w:val="ListParagraph"/>
        <w:numPr>
          <w:ilvl w:val="0"/>
          <w:numId w:val="2"/>
        </w:numPr>
        <w:spacing w:after="80"/>
      </w:pPr>
      <w:r>
        <w:rPr>
          <w:color w:val="1B2430"/>
          <w:sz w:val="22"/>
          <w:szCs w:val="22"/>
        </w:rPr>
        <w:t xml:space="preserve">Stadium activation — a simple on-site “First-Timer” welcome moment (seat upgrade or free merch) for verified first-time ticket buyers, reinforcing the campaign promise in person.</w:t>
      </w:r>
    </w:p>
    <w:p>
      <w:pPr>
        <w:pStyle w:val="Heading1"/>
        <w:spacing w:after="140" w:before="320"/>
      </w:pPr>
      <w:r>
        <w:rPr>
          <w:b/>
          <w:bCs/>
          <w:color w:val="0F2C4C"/>
        </w:rPr>
        <w:t xml:space="preserve">Execution: What Was Built</w:t>
      </w:r>
    </w:p>
    <w:p>
      <w:pPr>
        <w:spacing w:after="160"/>
      </w:pPr>
      <w:r>
        <w:rPr>
          <w:color w:val="1B2430"/>
          <w:sz w:val="22"/>
          <w:szCs w:val="22"/>
        </w:rPr>
        <w:t xml:space="preserve">One deliverable was prototyped for this concept:</w:t>
      </w:r>
    </w:p>
    <w:p>
      <w:pPr>
        <w:pStyle w:val="ListParagraph"/>
        <w:numPr>
          <w:ilvl w:val="0"/>
          <w:numId w:val="2"/>
        </w:numPr>
        <w:spacing w:after="80"/>
      </w:pPr>
      <w:r>
        <w:rPr>
          <w:color w:val="1B2430"/>
          <w:sz w:val="22"/>
          <w:szCs w:val="22"/>
        </w:rPr>
        <w:t xml:space="preserve">A full shot-by-shot storyboard for the 30-second vertical spot, including on-screen text, voiceover/caption lines, and direction notes for each frame — see “mlc-storyboard.html”.</w:t>
      </w:r>
    </w:p>
    <w:p>
      <w:pPr>
        <w:pStyle w:val="Heading1"/>
        <w:spacing w:after="140" w:before="320"/>
      </w:pPr>
      <w:r>
        <w:rPr>
          <w:b/>
          <w:bCs/>
          <w:color w:val="0F2C4C"/>
        </w:rPr>
        <w:t xml:space="preserve">Measurement</w:t>
      </w:r>
    </w:p>
    <w:p>
      <w:pPr>
        <w:spacing w:after="160"/>
      </w:pPr>
      <w:r>
        <w:rPr>
          <w:color w:val="1B2430"/>
          <w:sz w:val="22"/>
          <w:szCs w:val="22"/>
        </w:rPr>
        <w:t xml:space="preserve">As an acquisition campaign, success is measured on new-fan conversion specifically:</w:t>
      </w:r>
    </w:p>
    <w:p>
      <w:pPr>
        <w:pStyle w:val="ListParagraph"/>
        <w:numPr>
          <w:ilvl w:val="0"/>
          <w:numId w:val="2"/>
        </w:numPr>
        <w:spacing w:after="80"/>
      </w:pPr>
      <w:r>
        <w:rPr>
          <w:color w:val="1B2430"/>
          <w:sz w:val="22"/>
          <w:szCs w:val="22"/>
        </w:rPr>
        <w:t xml:space="preserve">Video completion rate, especially past the 0:12 mark (the “six” moment)</w:t>
      </w:r>
    </w:p>
    <w:p>
      <w:pPr>
        <w:pStyle w:val="ListParagraph"/>
        <w:numPr>
          <w:ilvl w:val="0"/>
          <w:numId w:val="2"/>
        </w:numPr>
        <w:spacing w:after="80"/>
      </w:pPr>
      <w:r>
        <w:rPr>
          <w:color w:val="1B2430"/>
          <w:sz w:val="22"/>
          <w:szCs w:val="22"/>
        </w:rPr>
        <w:t xml:space="preserve">Click-through rate on the ticket CTA among viewers with no prior cricket engagement signals</w:t>
      </w:r>
    </w:p>
    <w:p>
      <w:pPr>
        <w:pStyle w:val="ListParagraph"/>
        <w:numPr>
          <w:ilvl w:val="0"/>
          <w:numId w:val="2"/>
        </w:numPr>
        <w:spacing w:after="80"/>
      </w:pPr>
      <w:r>
        <w:rPr>
          <w:color w:val="1B2430"/>
          <w:sz w:val="22"/>
          <w:szCs w:val="22"/>
        </w:rPr>
        <w:t xml:space="preserve">Share of ticket purchases from new accounts / first-time buyers, tracked against the 84% Season 3 benchmark</w:t>
      </w:r>
    </w:p>
    <w:p>
      <w:pPr>
        <w:pStyle w:val="ListParagraph"/>
        <w:numPr>
          <w:ilvl w:val="0"/>
          <w:numId w:val="2"/>
        </w:numPr>
        <w:spacing w:after="80"/>
      </w:pPr>
      <w:r>
        <w:rPr>
          <w:color w:val="1B2430"/>
          <w:sz w:val="22"/>
          <w:szCs w:val="22"/>
        </w:rPr>
        <w:t xml:space="preserve">Cost per first-time ticket buyer, compared against paid media spend</w:t>
      </w:r>
    </w:p>
    <w:p>
      <w:pPr>
        <w:pStyle w:val="Heading1"/>
        <w:spacing w:after="140" w:before="320"/>
      </w:pPr>
      <w:r>
        <w:rPr>
          <w:b/>
          <w:bCs/>
          <w:color w:val="0F2C4C"/>
        </w:rPr>
        <w:t xml:space="preserve">Why This Fits the League</w:t>
      </w:r>
    </w:p>
    <w:p>
      <w:pPr>
        <w:pStyle w:val="ListParagraph"/>
        <w:numPr>
          <w:ilvl w:val="0"/>
          <w:numId w:val="2"/>
        </w:numPr>
        <w:spacing w:after="80"/>
      </w:pPr>
      <w:r>
        <w:rPr>
          <w:color w:val="1B2430"/>
          <w:sz w:val="22"/>
          <w:szCs w:val="22"/>
        </w:rPr>
        <w:t xml:space="preserve">Built entirely around a real, reported statistic rather than an assumed insight</w:t>
      </w:r>
    </w:p>
    <w:p>
      <w:pPr>
        <w:pStyle w:val="ListParagraph"/>
        <w:numPr>
          <w:ilvl w:val="0"/>
          <w:numId w:val="2"/>
        </w:numPr>
        <w:spacing w:after="80"/>
      </w:pPr>
      <w:r>
        <w:rPr>
          <w:color w:val="1B2430"/>
          <w:sz w:val="22"/>
          <w:szCs w:val="22"/>
        </w:rPr>
        <w:t xml:space="preserve">Matches the platform (short vertical video) to where a newcomer audience actually is, rather than assuming they'll seek out cricket content</w:t>
      </w:r>
    </w:p>
    <w:p>
      <w:pPr>
        <w:pStyle w:val="ListParagraph"/>
        <w:numPr>
          <w:ilvl w:val="0"/>
          <w:numId w:val="2"/>
        </w:numPr>
        <w:spacing w:after="80"/>
      </w:pPr>
      <w:r>
        <w:rPr>
          <w:color w:val="1B2430"/>
          <w:sz w:val="22"/>
          <w:szCs w:val="22"/>
        </w:rPr>
        <w:t xml:space="preserve">Sells the format's genuine differentiator (T20 speed) instead of over-explaining rules, which is a common and avoidable mistake in cricket marketing aimed at new markets</w:t>
      </w:r>
    </w:p>
    <w:sectPr>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2026-08-12T01:19:23.973Z</dcterms:created>
  <dcterms:modified xsi:type="dcterms:W3CDTF">2026-08-12T01:19:23.990Z</dcterms:modified>
</cp:coreProperties>
</file>

<file path=docProps/custom.xml><?xml version="1.0" encoding="utf-8"?>
<Properties xmlns="http://schemas.openxmlformats.org/officeDocument/2006/custom-properties" xmlns:vt="http://schemas.openxmlformats.org/officeDocument/2006/docPropsVTypes"/>
</file>