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71E3"/>
          <w:sz w:val="20"/>
          <w:szCs w:val="20"/>
        </w:rPr>
        <w:t xml:space="preserve">APPLE · IPHONE DUO</w:t>
      </w:r>
    </w:p>
    <w:p>
      <w:pPr>
        <w:spacing w:after="40"/>
      </w:pPr>
      <w:r>
        <w:rPr>
          <w:rFonts w:ascii="Arial" w:cs="Arial" w:eastAsia="Arial" w:hAnsi="Arial"/>
          <w:b/>
          <w:bCs/>
          <w:color w:val="1D1D1F"/>
          <w:sz w:val="46"/>
          <w:szCs w:val="46"/>
        </w:rPr>
        <w:t xml:space="preserve">Everything Opens Up.</w:t>
      </w:r>
    </w:p>
    <w:p>
      <w:pPr>
        <w:spacing w:after="300"/>
      </w:pPr>
      <w:r>
        <w:rPr>
          <w:i/>
          <w:iCs/>
          <w:color w:val="6E6E73"/>
          <w:sz w:val="24"/>
          <w:szCs w:val="24"/>
        </w:rPr>
        <w:t xml:space="preserve">A launch campaign concept for Apple's first foldable iPhone</w:t>
      </w:r>
    </w:p>
    <w:p>
      <w:pPr>
        <w:pStyle w:val="Heading1"/>
        <w:spacing w:after="140" w:before="320"/>
      </w:pPr>
      <w:r>
        <w:rPr>
          <w:b/>
          <w:bCs/>
          <w:color w:val="0071E3"/>
        </w:rPr>
        <w:t xml:space="preserve">Campaign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pct" w:w="25%"/>
            <w:shd w:fill="F5F5F7" w:val="clear"/>
            <w:tcMar>
              <w:top w:type="dxa" w:w="100"/>
              <w:left w:type="dxa" w:w="120"/>
              <w:bottom w:type="dxa" w:w="100"/>
              <w:right w:type="dxa" w:w="120"/>
            </w:tcMar>
          </w:tcPr>
          <w:p>
            <w:r>
              <w:rPr>
                <w:b/>
                <w:bCs/>
                <w:color w:val="0071E3"/>
                <w:sz w:val="20"/>
                <w:szCs w:val="20"/>
              </w:rPr>
              <w:t xml:space="preserve">Product</w:t>
            </w:r>
          </w:p>
        </w:tc>
        <w:tc>
          <w:tcPr>
            <w:tcW w:type="pct" w:w="75%"/>
            <w:shd w:fill="F5F5F7" w:val="clear"/>
            <w:tcMar>
              <w:top w:type="dxa" w:w="100"/>
              <w:left w:type="dxa" w:w="120"/>
              <w:bottom w:type="dxa" w:w="100"/>
              <w:right w:type="dxa" w:w="120"/>
            </w:tcMar>
          </w:tcPr>
          <w:p>
            <w:r>
              <w:rPr>
                <w:b w:val="false"/>
                <w:bCs w:val="false"/>
                <w:color w:val="1D1D1F"/>
                <w:sz w:val="20"/>
                <w:szCs w:val="20"/>
              </w:rPr>
              <w:t xml:space="preserve">Apple iPhone Duo — first-generation foldable, announced September 9, 2026</w:t>
            </w:r>
          </w:p>
        </w:tc>
      </w:tr>
      <w:tr>
        <w:tc>
          <w:tcPr>
            <w:tcW w:type="pct" w:w="25%"/>
            <w:shd w:fill="FFFFFF" w:val="clear"/>
            <w:tcMar>
              <w:top w:type="dxa" w:w="100"/>
              <w:left w:type="dxa" w:w="120"/>
              <w:bottom w:type="dxa" w:w="100"/>
              <w:right w:type="dxa" w:w="120"/>
            </w:tcMar>
          </w:tcPr>
          <w:p>
            <w:r>
              <w:rPr>
                <w:b/>
                <w:bCs/>
                <w:color w:val="0071E3"/>
                <w:sz w:val="20"/>
                <w:szCs w:val="20"/>
              </w:rPr>
              <w:t xml:space="preserve">Goal</w:t>
            </w:r>
          </w:p>
        </w:tc>
        <w:tc>
          <w:tcPr>
            <w:tcW w:type="pct" w:w="75%"/>
            <w:shd w:fill="FFFFFF" w:val="clear"/>
            <w:tcMar>
              <w:top w:type="dxa" w:w="100"/>
              <w:left w:type="dxa" w:w="120"/>
              <w:bottom w:type="dxa" w:w="100"/>
              <w:right w:type="dxa" w:w="120"/>
            </w:tcMar>
          </w:tcPr>
          <w:p>
            <w:r>
              <w:rPr>
                <w:b w:val="false"/>
                <w:bCs w:val="false"/>
                <w:color w:val="1D1D1F"/>
                <w:sz w:val="20"/>
                <w:szCs w:val="20"/>
              </w:rPr>
              <w:t xml:space="preserve">Launch awareness and consideration among existing iPhone Pro-tier owners</w:t>
            </w:r>
          </w:p>
        </w:tc>
      </w:tr>
      <w:tr>
        <w:tc>
          <w:tcPr>
            <w:tcW w:type="pct" w:w="25%"/>
            <w:shd w:fill="F5F5F7" w:val="clear"/>
            <w:tcMar>
              <w:top w:type="dxa" w:w="100"/>
              <w:left w:type="dxa" w:w="120"/>
              <w:bottom w:type="dxa" w:w="100"/>
              <w:right w:type="dxa" w:w="120"/>
            </w:tcMar>
          </w:tcPr>
          <w:p>
            <w:r>
              <w:rPr>
                <w:b/>
                <w:bCs/>
                <w:color w:val="0071E3"/>
                <w:sz w:val="20"/>
                <w:szCs w:val="20"/>
              </w:rPr>
              <w:t xml:space="preserve">Audience</w:t>
            </w:r>
          </w:p>
        </w:tc>
        <w:tc>
          <w:tcPr>
            <w:tcW w:type="pct" w:w="75%"/>
            <w:shd w:fill="F5F5F7" w:val="clear"/>
            <w:tcMar>
              <w:top w:type="dxa" w:w="100"/>
              <w:left w:type="dxa" w:w="120"/>
              <w:bottom w:type="dxa" w:w="100"/>
              <w:right w:type="dxa" w:w="120"/>
            </w:tcMar>
          </w:tcPr>
          <w:p>
            <w:r>
              <w:rPr>
                <w:b w:val="false"/>
                <w:bCs w:val="false"/>
                <w:color w:val="1D1D1F"/>
                <w:sz w:val="20"/>
                <w:szCs w:val="20"/>
              </w:rPr>
              <w:t xml:space="preserve">Current iPhone Pro/Pro Max owners evaluating their first foldable device</w:t>
            </w:r>
          </w:p>
        </w:tc>
      </w:tr>
      <w:tr>
        <w:tc>
          <w:tcPr>
            <w:tcW w:type="pct" w:w="25%"/>
            <w:shd w:fill="FFFFFF" w:val="clear"/>
            <w:tcMar>
              <w:top w:type="dxa" w:w="100"/>
              <w:left w:type="dxa" w:w="120"/>
              <w:bottom w:type="dxa" w:w="100"/>
              <w:right w:type="dxa" w:w="120"/>
            </w:tcMar>
          </w:tcPr>
          <w:p>
            <w:r>
              <w:rPr>
                <w:b/>
                <w:bCs/>
                <w:color w:val="0071E3"/>
                <w:sz w:val="20"/>
                <w:szCs w:val="20"/>
              </w:rPr>
              <w:t xml:space="preserve">Competitive frame</w:t>
            </w:r>
          </w:p>
        </w:tc>
        <w:tc>
          <w:tcPr>
            <w:tcW w:type="pct" w:w="75%"/>
            <w:shd w:fill="FFFFFF" w:val="clear"/>
            <w:tcMar>
              <w:top w:type="dxa" w:w="100"/>
              <w:left w:type="dxa" w:w="120"/>
              <w:bottom w:type="dxa" w:w="100"/>
              <w:right w:type="dxa" w:w="120"/>
            </w:tcMar>
          </w:tcPr>
          <w:p>
            <w:r>
              <w:rPr>
                <w:b w:val="false"/>
                <w:bCs w:val="false"/>
                <w:color w:val="1D1D1F"/>
                <w:sz w:val="20"/>
                <w:szCs w:val="20"/>
              </w:rPr>
              <w:t xml:space="preserve">Positioned against the Samsung Galaxy Z Fold as the more refined, “it just works” foldable</w:t>
            </w:r>
          </w:p>
        </w:tc>
      </w:tr>
      <w:tr>
        <w:tc>
          <w:tcPr>
            <w:tcW w:type="pct" w:w="25%"/>
            <w:shd w:fill="F5F5F7" w:val="clear"/>
            <w:tcMar>
              <w:top w:type="dxa" w:w="100"/>
              <w:left w:type="dxa" w:w="120"/>
              <w:bottom w:type="dxa" w:w="100"/>
              <w:right w:type="dxa" w:w="120"/>
            </w:tcMar>
          </w:tcPr>
          <w:p>
            <w:r>
              <w:rPr>
                <w:b/>
                <w:bCs/>
                <w:color w:val="0071E3"/>
                <w:sz w:val="20"/>
                <w:szCs w:val="20"/>
              </w:rPr>
              <w:t xml:space="preserve">Core insight</w:t>
            </w:r>
          </w:p>
        </w:tc>
        <w:tc>
          <w:tcPr>
            <w:tcW w:type="pct" w:w="75%"/>
            <w:shd w:fill="F5F5F7" w:val="clear"/>
            <w:tcMar>
              <w:top w:type="dxa" w:w="100"/>
              <w:left w:type="dxa" w:w="120"/>
              <w:bottom w:type="dxa" w:w="100"/>
              <w:right w:type="dxa" w:w="120"/>
            </w:tcMar>
          </w:tcPr>
          <w:p>
            <w:r>
              <w:rPr>
                <w:b w:val="false"/>
                <w:bCs w:val="false"/>
                <w:color w:val="1D1D1F"/>
                <w:sz w:val="20"/>
                <w:szCs w:val="20"/>
              </w:rPr>
              <w:t xml:space="preserve">The fold itself, not a spec sheet, is what will sell this category. Show the mechanic, don't explain it.</w:t>
            </w:r>
          </w:p>
        </w:tc>
      </w:tr>
    </w:tbl>
    <w:p>
      <w:pPr>
        <w:pStyle w:val="Heading1"/>
        <w:spacing w:after="140" w:before="320"/>
      </w:pPr>
      <w:r>
        <w:rPr>
          <w:b/>
          <w:bCs/>
          <w:color w:val="0071E3"/>
        </w:rPr>
        <w:t xml:space="preserve">Product Grounding</w:t>
      </w:r>
    </w:p>
    <w:p>
      <w:pPr>
        <w:spacing w:after="160"/>
      </w:pPr>
      <w:r>
        <w:rPr>
          <w:color w:val="1D1D1F"/>
          <w:sz w:val="22"/>
          <w:szCs w:val="22"/>
        </w:rPr>
        <w:t xml:space="preserve">Announced at Apple's “Surprise and Shine” event on September 9, 2026, the iPhone Duo is Apple's first foldable device and its first new form factor since the iPhone X. It combines a 5.4-inch outer display with a 7.6-inch Super Retina XDR inner display in a book-style fold, alongside a hinge engineered for a crease Apple describes as nearly invisible. It launched alongside the iPhone 18 Pro and Pro Max, both running Apple's new A20 Pro chip.</w:t>
      </w:r>
    </w:p>
    <w:p>
      <w:pPr>
        <w:pStyle w:val="Heading1"/>
        <w:spacing w:after="140" w:before="320"/>
      </w:pPr>
      <w:r>
        <w:rPr>
          <w:b/>
          <w:bCs/>
          <w:color w:val="0071E3"/>
        </w:rPr>
        <w:t xml:space="preserve">The Big Idea</w:t>
      </w:r>
    </w:p>
    <w:p>
      <w:pPr>
        <w:spacing w:after="160"/>
      </w:pPr>
      <w:r>
        <w:rPr>
          <w:color w:val="1D1D1F"/>
          <w:sz w:val="22"/>
          <w:szCs w:val="22"/>
        </w:rPr>
        <w:t xml:space="preserve">“Everything Opens Up.” treats the product name itself as the campaign's entire argument: Duo means two screens, two modes, two states, and the film's job is to let people watch that transformation rather than read about it. The approach deliberately withholds spec callouts and pricing until the very end, trusting the fold itself to carry the emotional weight, consistent with Apple's own historical style of showing rather than explaining.</w:t>
      </w:r>
    </w:p>
    <w:p>
      <w:pPr>
        <w:pStyle w:val="Heading1"/>
        <w:spacing w:after="140" w:before="320"/>
      </w:pPr>
      <w:r>
        <w:rPr>
          <w:b/>
          <w:bCs/>
          <w:color w:val="0071E3"/>
        </w:rPr>
        <w:t xml:space="preserve">Strategy &amp; Deliverables</w:t>
      </w:r>
    </w:p>
    <w:p>
      <w:pPr>
        <w:pStyle w:val="ListParagraph"/>
        <w:numPr>
          <w:ilvl w:val="0"/>
          <w:numId w:val="2"/>
        </w:numPr>
        <w:spacing w:after="80"/>
      </w:pPr>
      <w:r>
        <w:rPr>
          <w:color w:val="1D1D1F"/>
          <w:sz w:val="22"/>
          <w:szCs w:val="22"/>
        </w:rPr>
        <w:t xml:space="preserve">Hero launch film — a 30-second spot built around a single continuous slow-motion shot of the unfold, with no voiceover explaining features and no side-by-side spec comparison.</w:t>
      </w:r>
    </w:p>
    <w:p>
      <w:pPr>
        <w:pStyle w:val="ListParagraph"/>
        <w:numPr>
          <w:ilvl w:val="0"/>
          <w:numId w:val="2"/>
        </w:numPr>
        <w:spacing w:after="80"/>
      </w:pPr>
      <w:r>
        <w:rPr>
          <w:color w:val="1D1D1F"/>
          <w:sz w:val="22"/>
          <w:szCs w:val="22"/>
        </w:rPr>
        <w:t xml:space="preserve">Interactive fold simulator — a web-based demo letting people trigger the fold/unfold transition themselves, translating the film's hero moment into something hands-on for digital placements.</w:t>
      </w:r>
    </w:p>
    <w:p>
      <w:pPr>
        <w:pStyle w:val="ListParagraph"/>
        <w:numPr>
          <w:ilvl w:val="0"/>
          <w:numId w:val="2"/>
        </w:numPr>
        <w:spacing w:after="80"/>
      </w:pPr>
      <w:r>
        <w:rPr>
          <w:color w:val="1D1D1F"/>
          <w:sz w:val="22"/>
          <w:szCs w:val="22"/>
        </w:rPr>
        <w:t xml:space="preserve">Staggered reveal — the hero film runs with zero pricing or availability information; a second wave of cutdowns introduces pricing once the emotional hook has already landed.</w:t>
      </w:r>
    </w:p>
    <w:p>
      <w:pPr>
        <w:pStyle w:val="Heading1"/>
        <w:spacing w:after="140" w:before="320"/>
      </w:pPr>
      <w:r>
        <w:rPr>
          <w:b/>
          <w:bCs/>
          <w:color w:val="0071E3"/>
        </w:rPr>
        <w:t xml:space="preserve">Execution: What Was Built</w:t>
      </w:r>
    </w:p>
    <w:p>
      <w:pPr>
        <w:spacing w:after="160"/>
      </w:pPr>
      <w:r>
        <w:rPr>
          <w:color w:val="1D1D1F"/>
          <w:sz w:val="22"/>
          <w:szCs w:val="22"/>
        </w:rPr>
        <w:t xml:space="preserve">Two deliverables were prototyped for this concept:</w:t>
      </w:r>
    </w:p>
    <w:p>
      <w:pPr>
        <w:pStyle w:val="ListParagraph"/>
        <w:numPr>
          <w:ilvl w:val="0"/>
          <w:numId w:val="2"/>
        </w:numPr>
        <w:spacing w:after="80"/>
      </w:pPr>
      <w:r>
        <w:rPr>
          <w:color w:val="1D1D1F"/>
          <w:sz w:val="22"/>
          <w:szCs w:val="22"/>
        </w:rPr>
        <w:t xml:space="preserve">An interactive fold simulator toggling between the 5.4″ outer display and the 7.6″ inner display — see “iphone-duo-fold-simulator.html”.</w:t>
      </w:r>
    </w:p>
    <w:p>
      <w:pPr>
        <w:pStyle w:val="ListParagraph"/>
        <w:numPr>
          <w:ilvl w:val="0"/>
          <w:numId w:val="2"/>
        </w:numPr>
        <w:spacing w:after="80"/>
      </w:pPr>
      <w:r>
        <w:rPr>
          <w:color w:val="1D1D1F"/>
          <w:sz w:val="22"/>
          <w:szCs w:val="22"/>
        </w:rPr>
        <w:t xml:space="preserve">A full shot-by-shot storyboard for the 30-second hero launch film, including on-screen text, sound direction, and shot notes per frame — see “iphone-duo-launch-film-storyboard.html”.</w:t>
      </w:r>
    </w:p>
    <w:p>
      <w:pPr>
        <w:pStyle w:val="Heading1"/>
        <w:spacing w:after="140" w:before="320"/>
      </w:pPr>
      <w:r>
        <w:rPr>
          <w:b/>
          <w:bCs/>
          <w:color w:val="0071E3"/>
        </w:rPr>
        <w:t xml:space="preserve">Measurement</w:t>
      </w:r>
    </w:p>
    <w:p>
      <w:pPr>
        <w:spacing w:after="160"/>
      </w:pPr>
      <w:r>
        <w:rPr>
          <w:color w:val="1D1D1F"/>
          <w:sz w:val="22"/>
          <w:szCs w:val="22"/>
        </w:rPr>
        <w:t xml:space="preserve">As a launch awareness and consideration campaign, success is measured before any purchase signal:</w:t>
      </w:r>
    </w:p>
    <w:p>
      <w:pPr>
        <w:pStyle w:val="ListParagraph"/>
        <w:numPr>
          <w:ilvl w:val="0"/>
          <w:numId w:val="2"/>
        </w:numPr>
        <w:spacing w:after="80"/>
      </w:pPr>
      <w:r>
        <w:rPr>
          <w:color w:val="1D1D1F"/>
          <w:sz w:val="22"/>
          <w:szCs w:val="22"/>
        </w:rPr>
        <w:t xml:space="preserve">Video completion rate, with particular attention to the 0:10–0:16 unfold shot as the retention-critical moment</w:t>
      </w:r>
    </w:p>
    <w:p>
      <w:pPr>
        <w:pStyle w:val="ListParagraph"/>
        <w:numPr>
          <w:ilvl w:val="0"/>
          <w:numId w:val="2"/>
        </w:numPr>
        <w:spacing w:after="80"/>
      </w:pPr>
      <w:r>
        <w:rPr>
          <w:color w:val="1D1D1F"/>
          <w:sz w:val="22"/>
          <w:szCs w:val="22"/>
        </w:rPr>
        <w:t xml:space="preserve">Interaction rate and repeat-triggers on the fold simulator across digital placements</w:t>
      </w:r>
    </w:p>
    <w:p>
      <w:pPr>
        <w:pStyle w:val="ListParagraph"/>
        <w:numPr>
          <w:ilvl w:val="0"/>
          <w:numId w:val="2"/>
        </w:numPr>
        <w:spacing w:after="80"/>
      </w:pPr>
      <w:r>
        <w:rPr>
          <w:color w:val="1D1D1F"/>
          <w:sz w:val="22"/>
          <w:szCs w:val="22"/>
        </w:rPr>
        <w:t xml:space="preserve">Search lift for “iPhone Duo” relative to “iPhone 18 Pro” in the same launch window, to gauge whether the foldable is cutting through independently</w:t>
      </w:r>
    </w:p>
    <w:p>
      <w:pPr>
        <w:pStyle w:val="ListParagraph"/>
        <w:numPr>
          <w:ilvl w:val="0"/>
          <w:numId w:val="2"/>
        </w:numPr>
        <w:spacing w:after="80"/>
      </w:pPr>
      <w:r>
        <w:rPr>
          <w:color w:val="1D1D1F"/>
          <w:sz w:val="22"/>
          <w:szCs w:val="22"/>
        </w:rPr>
        <w:t xml:space="preserve">Trade-in and upgrade-eligibility page visits among existing Pro-tier owners</w:t>
      </w:r>
    </w:p>
    <w:p>
      <w:pPr>
        <w:pStyle w:val="Heading1"/>
        <w:spacing w:after="140" w:before="320"/>
      </w:pPr>
      <w:r>
        <w:rPr>
          <w:b/>
          <w:bCs/>
          <w:color w:val="0071E3"/>
        </w:rPr>
        <w:t xml:space="preserve">Why This Fits The Brand</w:t>
      </w:r>
    </w:p>
    <w:p>
      <w:pPr>
        <w:pStyle w:val="ListParagraph"/>
        <w:numPr>
          <w:ilvl w:val="0"/>
          <w:numId w:val="2"/>
        </w:numPr>
        <w:spacing w:after="80"/>
      </w:pPr>
      <w:r>
        <w:rPr>
          <w:color w:val="1D1D1F"/>
          <w:sz w:val="22"/>
          <w:szCs w:val="22"/>
        </w:rPr>
        <w:t xml:space="preserve">Matches Apple's established restraint: one hero moment, minimal copy, no invented brand voice</w:t>
      </w:r>
    </w:p>
    <w:p>
      <w:pPr>
        <w:pStyle w:val="ListParagraph"/>
        <w:numPr>
          <w:ilvl w:val="0"/>
          <w:numId w:val="2"/>
        </w:numPr>
        <w:spacing w:after="80"/>
      </w:pPr>
      <w:r>
        <w:rPr>
          <w:color w:val="1D1D1F"/>
          <w:sz w:val="22"/>
          <w:szCs w:val="22"/>
        </w:rPr>
        <w:t xml:space="preserve">Uses the product's real, current launch details rather than a hypothetical spec sheet</w:t>
      </w:r>
    </w:p>
    <w:p>
      <w:pPr>
        <w:pStyle w:val="ListParagraph"/>
        <w:numPr>
          <w:ilvl w:val="0"/>
          <w:numId w:val="2"/>
        </w:numPr>
        <w:spacing w:after="80"/>
      </w:pPr>
      <w:r>
        <w:rPr>
          <w:color w:val="1D1D1F"/>
          <w:sz w:val="22"/>
          <w:szCs w:val="22"/>
        </w:rPr>
        <w:t xml:space="preserve">Treats the interactive simulator as a natural extension of the film rather than a separate gimmick, both are built around the same single mechanic</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2026-09-17T00:14:20.836Z</dcterms:created>
  <dcterms:modified xsi:type="dcterms:W3CDTF">2026-09-17T00:14:20.843Z</dcterms:modified>
</cp:coreProperties>
</file>

<file path=docProps/custom.xml><?xml version="1.0" encoding="utf-8"?>
<Properties xmlns="http://schemas.openxmlformats.org/officeDocument/2006/custom-properties" xmlns:vt="http://schemas.openxmlformats.org/officeDocument/2006/docPropsVTypes"/>
</file>