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Abstract – Vehicle to Grid (V2G) and Grid to Vehicle (G2V)</w:t>
      </w:r>
    </w:p>
    <w:p>
      <w:r>
        <w:t>Vehicle to Grid (V2G) and Grid to Vehicle (G2V) technologies are emerging as key components in modern smart power systems, enabling two-way energy flow between electric vehicles (EVs) and the electrical grid. G2V represents the conventional charging process where EVs draw power from the grid, while V2G allows EV batteries to supply stored energy back to the grid during peak demand periods. This bidirectional energy exchange helps improve grid stability, enhances renewable energy utilization, and supports load balancing.</w:t>
      </w:r>
    </w:p>
    <w:p>
      <w:r>
        <w:t>With the rapid growth of EV adoption and renewable energy sources such as solar and wind, maintaining grid reliability has become challenging due to fluctuating power generation. V2G systems help solve this problem by acting as distributed energy storage units. During low demand or high renewable generation, EVs store excess energy, and during high demand, they supply power back to the grid. Advanced power electronics, smart meters, communication systems, and intelligent control algorithms play a crucial role in implementing V2G and G2V technologies efficiently.</w:t>
      </w:r>
    </w:p>
    <w:p>
      <w:r>
        <w:t>These technologies also provide economic benefits by enabling EV owners to earn revenue through energy trading. Overall, V2G and G2V contribute to sustainable energy management, reduced carbon emissions, and development of future smart grid infrastructure.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