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277CB5">
      <w:pPr>
        <w:pStyle w:val="6"/>
        <w:rPr>
          <w:u w:val="none"/>
        </w:rPr>
      </w:pPr>
      <w:r>
        <w:rPr>
          <w:color w:val="FFC000"/>
          <w:w w:val="90"/>
          <w:u w:val="single" w:color="FFC000"/>
        </w:rPr>
        <w:t>AVISHKAR</w:t>
      </w:r>
      <w:r>
        <w:rPr>
          <w:color w:val="FFC000"/>
          <w:spacing w:val="20"/>
          <w:u w:val="single" w:color="FFC000"/>
        </w:rPr>
        <w:t xml:space="preserve"> </w:t>
      </w:r>
      <w:r>
        <w:rPr>
          <w:color w:val="FFC000"/>
          <w:spacing w:val="-4"/>
          <w:u w:val="single" w:color="FFC000"/>
        </w:rPr>
        <w:t>2K26</w:t>
      </w:r>
    </w:p>
    <w:p w14:paraId="348D8C8E">
      <w:pPr>
        <w:spacing w:before="186" w:line="259" w:lineRule="auto"/>
        <w:ind w:right="0"/>
        <w:jc w:val="left"/>
        <w:rPr>
          <w:b/>
          <w:sz w:val="24"/>
        </w:rPr>
      </w:pPr>
      <w:r>
        <w:rPr>
          <w:b/>
          <w:bCs/>
          <w:color w:val="00AFEF"/>
          <w:spacing w:val="-2"/>
          <w:sz w:val="28"/>
          <w:szCs w:val="28"/>
        </w:rPr>
        <w:t>Topic</w:t>
      </w:r>
      <w:r>
        <w:rPr>
          <w:rFonts w:hint="default"/>
          <w:b/>
          <w:bCs/>
          <w:color w:val="00AFEF"/>
          <w:spacing w:val="-2"/>
          <w:sz w:val="28"/>
          <w:szCs w:val="28"/>
          <w:lang w:val="en-US"/>
        </w:rPr>
        <w:t xml:space="preserve"> </w:t>
      </w:r>
      <w:r>
        <w:rPr>
          <w:b/>
          <w:bCs/>
          <w:color w:val="00AFEF"/>
          <w:spacing w:val="-2"/>
          <w:sz w:val="28"/>
          <w:szCs w:val="28"/>
        </w:rPr>
        <w:t>:</w:t>
      </w:r>
      <w:r>
        <w:rPr>
          <w:rFonts w:hint="default"/>
          <w:b/>
          <w:spacing w:val="-2"/>
          <w:sz w:val="24"/>
          <w:lang w:val="en-US"/>
        </w:rPr>
        <w:t>HYBRID RENEWABLE  ENERGY  SYSTEMS</w:t>
      </w:r>
      <w:r>
        <w:rPr>
          <w:b/>
          <w:spacing w:val="-2"/>
          <w:sz w:val="24"/>
        </w:rPr>
        <w:t xml:space="preserve"> </w:t>
      </w:r>
    </w:p>
    <w:p w14:paraId="73EDE312">
      <w:pPr>
        <w:pStyle w:val="2"/>
        <w:spacing w:before="196"/>
      </w:pPr>
    </w:p>
    <w:p w14:paraId="28251C5A">
      <w:pPr>
        <w:tabs>
          <w:tab w:val="left" w:pos="6788"/>
        </w:tabs>
        <w:spacing w:before="162"/>
        <w:ind w:left="0" w:right="0" w:firstLine="0"/>
        <w:jc w:val="left"/>
        <w:rPr>
          <w:rFonts w:hint="default"/>
          <w:b/>
          <w:sz w:val="22"/>
          <w:lang w:val="en-US"/>
        </w:rPr>
      </w:pPr>
      <w:r>
        <w:rPr>
          <w:rFonts w:hint="default"/>
          <w:b/>
          <w:spacing w:val="-3"/>
          <w:sz w:val="22"/>
          <w:lang w:val="en-US"/>
        </w:rPr>
        <w:t>C.</w:t>
      </w:r>
      <w:r>
        <w:rPr>
          <w:b/>
          <w:spacing w:val="-3"/>
          <w:sz w:val="22"/>
        </w:rPr>
        <w:t xml:space="preserve"> </w:t>
      </w:r>
      <w:r>
        <w:rPr>
          <w:rFonts w:hint="default"/>
          <w:b/>
          <w:spacing w:val="-3"/>
          <w:sz w:val="22"/>
          <w:lang w:val="en-US"/>
        </w:rPr>
        <w:t>DHARANI,</w:t>
      </w:r>
      <w:r>
        <w:rPr>
          <w:b/>
          <w:sz w:val="22"/>
        </w:rPr>
        <w:tab/>
      </w:r>
      <w:r>
        <w:rPr>
          <w:rFonts w:hint="default"/>
          <w:b/>
          <w:sz w:val="22"/>
          <w:lang w:val="en-US"/>
        </w:rPr>
        <w:t>M.</w:t>
      </w:r>
      <w:r>
        <w:rPr>
          <w:b/>
          <w:spacing w:val="-7"/>
          <w:sz w:val="22"/>
        </w:rPr>
        <w:t xml:space="preserve"> </w:t>
      </w:r>
      <w:r>
        <w:rPr>
          <w:rFonts w:hint="default"/>
          <w:b/>
          <w:spacing w:val="-7"/>
          <w:sz w:val="22"/>
          <w:lang w:val="en-US"/>
        </w:rPr>
        <w:t>INDRA,</w:t>
      </w:r>
    </w:p>
    <w:p w14:paraId="4347D328">
      <w:pPr>
        <w:tabs>
          <w:tab w:val="left" w:pos="6778"/>
        </w:tabs>
        <w:spacing w:before="182"/>
        <w:ind w:left="0" w:right="0" w:firstLine="0"/>
        <w:jc w:val="left"/>
        <w:rPr>
          <w:rFonts w:hint="default"/>
          <w:b/>
          <w:sz w:val="22"/>
          <w:lang w:val="en-US"/>
        </w:rPr>
      </w:pPr>
      <w:r>
        <w:rPr>
          <w:b/>
          <w:spacing w:val="-2"/>
          <w:sz w:val="22"/>
        </w:rPr>
        <w:t>244C5A02</w:t>
      </w:r>
      <w:r>
        <w:rPr>
          <w:rFonts w:hint="default"/>
          <w:b/>
          <w:spacing w:val="-2"/>
          <w:sz w:val="22"/>
          <w:lang w:val="en-US"/>
        </w:rPr>
        <w:t>06,</w:t>
      </w:r>
      <w:r>
        <w:rPr>
          <w:b/>
          <w:sz w:val="22"/>
        </w:rPr>
        <w:tab/>
      </w:r>
      <w:r>
        <w:rPr>
          <w:b/>
          <w:spacing w:val="-2"/>
          <w:sz w:val="22"/>
        </w:rPr>
        <w:t>244C5A02</w:t>
      </w:r>
      <w:r>
        <w:rPr>
          <w:rFonts w:hint="default"/>
          <w:b/>
          <w:spacing w:val="-2"/>
          <w:sz w:val="22"/>
          <w:lang w:val="en-US"/>
        </w:rPr>
        <w:t>1</w:t>
      </w:r>
      <w:r>
        <w:rPr>
          <w:b/>
          <w:spacing w:val="-2"/>
          <w:sz w:val="22"/>
        </w:rPr>
        <w:t>3</w:t>
      </w:r>
      <w:r>
        <w:rPr>
          <w:rFonts w:hint="default"/>
          <w:b/>
          <w:spacing w:val="-2"/>
          <w:sz w:val="22"/>
          <w:lang w:val="en-US"/>
        </w:rPr>
        <w:t>,</w:t>
      </w:r>
      <w:bookmarkStart w:id="0" w:name="_GoBack"/>
      <w:bookmarkEnd w:id="0"/>
    </w:p>
    <w:p w14:paraId="19AE3D26">
      <w:pPr>
        <w:tabs>
          <w:tab w:val="left" w:pos="6743"/>
        </w:tabs>
        <w:spacing w:before="181"/>
        <w:ind w:left="0" w:right="0" w:firstLine="0"/>
        <w:jc w:val="left"/>
        <w:rPr>
          <w:b/>
          <w:sz w:val="22"/>
        </w:rPr>
      </w:pPr>
      <w:r>
        <w:rPr>
          <w:b/>
          <w:sz w:val="22"/>
        </w:rPr>
        <w:t>III</w:t>
      </w:r>
      <w:r>
        <w:rPr>
          <w:b/>
          <w:spacing w:val="-1"/>
          <w:sz w:val="22"/>
        </w:rPr>
        <w:t xml:space="preserve"> </w:t>
      </w:r>
      <w:r>
        <w:rPr>
          <w:b/>
          <w:sz w:val="22"/>
        </w:rPr>
        <w:t>YEAR,</w:t>
      </w:r>
      <w:r>
        <w:rPr>
          <w:b/>
          <w:spacing w:val="-2"/>
          <w:sz w:val="22"/>
        </w:rPr>
        <w:t xml:space="preserve"> </w:t>
      </w:r>
      <w:r>
        <w:rPr>
          <w:b/>
          <w:sz w:val="22"/>
        </w:rPr>
        <w:t>Dept.</w:t>
      </w:r>
      <w:r>
        <w:rPr>
          <w:b/>
          <w:spacing w:val="-4"/>
          <w:sz w:val="22"/>
        </w:rPr>
        <w:t xml:space="preserve"> </w:t>
      </w:r>
      <w:r>
        <w:rPr>
          <w:b/>
          <w:sz w:val="22"/>
        </w:rPr>
        <w:t xml:space="preserve">Of </w:t>
      </w:r>
      <w:r>
        <w:rPr>
          <w:b/>
          <w:spacing w:val="-4"/>
          <w:sz w:val="22"/>
        </w:rPr>
        <w:t>EEE.</w:t>
      </w:r>
      <w:r>
        <w:rPr>
          <w:b/>
          <w:sz w:val="22"/>
        </w:rPr>
        <w:tab/>
      </w:r>
      <w:r>
        <w:rPr>
          <w:b/>
          <w:sz w:val="22"/>
        </w:rPr>
        <w:t>III</w:t>
      </w:r>
      <w:r>
        <w:rPr>
          <w:b/>
          <w:spacing w:val="-1"/>
          <w:sz w:val="22"/>
        </w:rPr>
        <w:t xml:space="preserve"> </w:t>
      </w:r>
      <w:r>
        <w:rPr>
          <w:b/>
          <w:sz w:val="22"/>
        </w:rPr>
        <w:t>YEAR,</w:t>
      </w:r>
      <w:r>
        <w:rPr>
          <w:b/>
          <w:spacing w:val="-3"/>
          <w:sz w:val="22"/>
        </w:rPr>
        <w:t xml:space="preserve"> </w:t>
      </w:r>
      <w:r>
        <w:rPr>
          <w:b/>
          <w:sz w:val="22"/>
        </w:rPr>
        <w:t>Dept. Of</w:t>
      </w:r>
      <w:r>
        <w:rPr>
          <w:b/>
          <w:spacing w:val="-6"/>
          <w:sz w:val="22"/>
        </w:rPr>
        <w:t xml:space="preserve"> </w:t>
      </w:r>
      <w:r>
        <w:rPr>
          <w:b/>
          <w:spacing w:val="-4"/>
          <w:sz w:val="22"/>
        </w:rPr>
        <w:t>EEE.</w:t>
      </w:r>
    </w:p>
    <w:p w14:paraId="1AF38C08">
      <w:pPr>
        <w:pStyle w:val="5"/>
        <w:rPr>
          <w:b/>
          <w:sz w:val="22"/>
        </w:rPr>
      </w:pPr>
    </w:p>
    <w:p w14:paraId="087DE9C2">
      <w:pPr>
        <w:pStyle w:val="5"/>
        <w:spacing w:before="93"/>
        <w:rPr>
          <w:b/>
          <w:sz w:val="22"/>
        </w:rPr>
      </w:pPr>
    </w:p>
    <w:p w14:paraId="6E237D50">
      <w:pPr>
        <w:pStyle w:val="2"/>
        <w:jc w:val="both"/>
      </w:pPr>
      <w:r>
        <w:rPr>
          <w:color w:val="001F5F"/>
          <w:spacing w:val="-2"/>
        </w:rPr>
        <w:t>Abstract:</w:t>
      </w:r>
    </w:p>
    <w:p w14:paraId="2F0901CC">
      <w:pPr>
        <w:pStyle w:val="5"/>
        <w:spacing w:line="259" w:lineRule="auto"/>
        <w:ind w:right="24" w:firstLine="2160" w:firstLineChars="900"/>
        <w:jc w:val="both"/>
      </w:pPr>
      <w:r>
        <w:rPr>
          <w:rFonts w:hint="default"/>
        </w:rPr>
        <w:t>Hybrid Renewable Energy Systems (HRES) combine two or more renewable energy sources—such as solar, wind, biomass, hydro, or fuel cells—to deliver a more reliable and efficient power supply. Since individual renewable sources are naturally intermittent, integrating complementary resources helps overcome fluctuations in energy generation and ensures continuous power availability. These systems typically include energy storage units and smart power management controllers to balance supply and demand, improve efficiency, and reduce dependence on conventional fossil-fuel-based generators. HRES are widely used in remote areas, microgrids, rural electrification, and standalone systems where grid connectivity is limited or unstable. By optimizing the strengths of multiple renewable sources, hybrid systems lower operational costs, minimize environmental impact, and enhance energy security. With advancements in control algorithms, IoT-based monitoring, and improved storage technologies, HRES have become an increasingly practical and sustainable solution for meeting the growing global demand for clean energy.</w:t>
      </w:r>
    </w:p>
    <w:sectPr>
      <w:type w:val="continuous"/>
      <w:pgSz w:w="12240" w:h="15840"/>
      <w:pgMar w:top="1820" w:right="1440" w:bottom="28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56DC178D"/>
    <w:rsid w:val="57A208C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qFormat="1"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qFormat="1" w:unhideWhenUsed="0" w:uiPriority="0" w:semiHidden="0" w:name="List Bullet 3"/>
    <w:lsdException w:unhideWhenUsed="0" w:uiPriority="0" w:semiHidden="0" w:name="List Bullet 4"/>
    <w:lsdException w:qFormat="1"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qFormat="1"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qFormat="1" w:unhideWhenUsed="0" w:uiPriority="0" w:semiHidden="0" w:name="Body Text Indent"/>
    <w:lsdException w:qFormat="1"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outlineLvl w:val="1"/>
    </w:pPr>
    <w:rPr>
      <w:rFonts w:ascii="Calibri" w:hAnsi="Calibri" w:eastAsia="Calibri" w:cs="Calibri"/>
      <w:b/>
      <w:bCs/>
      <w:sz w:val="28"/>
      <w:szCs w:val="28"/>
      <w:lang w:val="en-US" w:eastAsia="en-US" w:bidi="ar-SA"/>
    </w:rPr>
  </w:style>
  <w:style w:type="character" w:default="1" w:styleId="3">
    <w:name w:val="Default Paragraph Font"/>
    <w:semiHidden/>
    <w:unhideWhenUsed/>
    <w:qFormat/>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Calibri" w:hAnsi="Calibri" w:eastAsia="Calibri" w:cs="Calibri"/>
      <w:sz w:val="24"/>
      <w:szCs w:val="24"/>
      <w:lang w:val="en-US" w:eastAsia="en-US" w:bidi="ar-SA"/>
    </w:rPr>
  </w:style>
  <w:style w:type="paragraph" w:styleId="6">
    <w:name w:val="Title"/>
    <w:basedOn w:val="1"/>
    <w:qFormat/>
    <w:uiPriority w:val="1"/>
    <w:pPr>
      <w:spacing w:before="54"/>
      <w:ind w:left="9"/>
      <w:jc w:val="center"/>
    </w:pPr>
    <w:rPr>
      <w:rFonts w:ascii="Times New Roman" w:hAnsi="Times New Roman" w:eastAsia="Times New Roman" w:cs="Times New Roman"/>
      <w:b/>
      <w:bCs/>
      <w:sz w:val="36"/>
      <w:szCs w:val="36"/>
      <w:u w:val="single" w:color="000000"/>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rPr>
      <w:lang w:val="en-US" w:eastAsia="en-US" w:bidi="ar-SA"/>
    </w:rPr>
  </w:style>
  <w:style w:type="paragraph" w:customStyle="1" w:styleId="9">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TotalTime>14</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2026-02-10T12:20:00Z</dcterms:created>
  <dc:creator>nani12345036@gmail.com</dc:creator>
  <cp:lastModifiedBy>WPS_1716290631</cp:lastModifiedBy>
  <dcterms:modified xsi:type="dcterms:W3CDTF">2026-02-10T12:36:37Z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2026-02-10T00:00:00Z</vt:filetime>
  </property>
  <property fmtid="{D5CDD505-2E9C-101B-9397-08002B2CF9AE}" pid="3" name="Creator">
    <vt:lpwstr>Microsoft Word</vt:lpwstr>
  </property>
  <property fmtid="{D5CDD505-2E9C-101B-9397-08002B2CF9AE}" pid="4" name="LastSaved">
    <vt:filetime>2026-02-10T00:00:00Z</vt:filetime>
  </property>
  <property fmtid="{D5CDD505-2E9C-101B-9397-08002B2CF9AE}" pid="5" name="KSOProductBuildVer">
    <vt:lpwstr>1033-12.2.0.23196</vt:lpwstr>
  </property>
  <property fmtid="{D5CDD505-2E9C-101B-9397-08002B2CF9AE}" pid="6" name="ICV">
    <vt:lpwstr>76BAC8C7376E4B36B7ACBB415AD6D56A_12</vt:lpwstr>
  </property>
</Properties>
</file>