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Intelligence Never Grants Authority</w:t>
      </w:r>
    </w:p>
    <w:p>
      <w:pPr>
        <w:pStyle w:val="Heading1"/>
      </w:pPr>
      <w:r>
        <w:t>A STAMP-Compliant Control Structure for Autonomous Agents</w:t>
      </w:r>
    </w:p>
    <w:p>
      <w:r>
        <w:rPr>
          <w:b/>
        </w:rPr>
        <w:t>Jonathan R. M. Kershaw</w:t>
      </w:r>
    </w:p>
    <w:p>
      <w:r>
        <w:t>*Originator, Agent Responsibility Engineering*</w:t>
      </w:r>
    </w:p>
    <w:p>
      <w:r>
        <w:t>agentresponsibilityengineering.com | srexai.dev | 2026</w:t>
      </w:r>
    </w:p>
    <w:p>
      <w:r>
        <w:rPr>
          <w:b/>
        </w:rPr>
        <w:t>Preprint (reconciled).</w:t>
      </w:r>
      <w:r>
        <w:t xml:space="preserve"> Bounded STPA closure per `research/stpa/STPA_RESOLUTION.md`. </w:t>
      </w:r>
      <w:r>
        <w:rPr>
          <w:b/>
        </w:rPr>
        <w:t>Public discipline materials</w:t>
      </w:r>
      <w:r>
        <w:t xml:space="preserve"> (README, tenets, PDFs): [github.com/srex-dev/AgentResponsibilityEngineering](https://github.com/srex-dev/AgentResponsibilityEngineering). </w:t>
      </w:r>
      <w:r>
        <w:rPr>
          <w:b/>
        </w:rPr>
        <w:t>This paper’s evidence</w:t>
      </w:r>
      <w:r>
        <w:t xml:space="preserve"> is drawn from </w:t>
      </w:r>
      <w:r>
        <w:rPr>
          <w:b/>
        </w:rPr>
        <w:t>privately held</w:t>
      </w:r>
      <w:r>
        <w:t xml:space="preserve"> implementation artifacts and a frozen bundle under `research/evidence-bundles/` — the </w:t>
      </w:r>
      <w:r>
        <w:rPr>
          <w:b/>
        </w:rPr>
        <w:t>full monolith</w:t>
      </w:r>
      <w:r>
        <w:t xml:space="preserve"> is </w:t>
      </w:r>
      <w:r>
        <w:rPr>
          <w:b/>
        </w:rPr>
        <w:t>not</w:t>
      </w:r>
      <w:r>
        <w:t xml:space="preserve"> asserted here as an open-source public clone. </w:t>
      </w:r>
      <w:r>
        <w:rPr>
          <w:b/>
        </w:rPr>
        <w:t>Paper / PDF / evidence hub:</w:t>
      </w:r>
      <w:r>
        <w:t xml:space="preserve"> `paper/README_PAPER_PIPELINE.md` (also `paper/ARXIV_AND_EVIDENCE_REALITY.md`). *Update commit hash when re-freezing.*</w:t>
      </w:r>
    </w:p>
    <w:p>
      <w:pPr>
        <w:jc w:val="center"/>
      </w:pPr>
      <w:r>
        <w:rPr>
          <w:b/>
          <w:sz w:val="32"/>
        </w:rPr>
        <w:t>Abstract</w:t>
      </w:r>
    </w:p>
    <w:p>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the normative artifact `research/stpa/STPA_RESOLUTION.md`.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r>
        <w:rPr>
          <w:b/>
        </w:rPr>
        <w:t>Keywords:</w:t>
      </w:r>
      <w:r>
        <w:t xml:space="preserve"> STAMP, STPA, agent safety, execution boundary, causal interposition, governance, accountability, bounded safety case.</w:t>
      </w:r>
    </w:p>
    <w:p>
      <w:pPr>
        <w:jc w:val="center"/>
      </w:pPr>
      <w:r>
        <w:rPr>
          <w:b/>
          <w:sz w:val="32"/>
        </w:rPr>
        <w:t>1. The Problem</w:t>
      </w:r>
    </w:p>
    <w:p>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jc w:val="center"/>
      </w:pPr>
      <w:r>
        <w:rPr>
          <w:b/>
          <w:sz w:val="32"/>
        </w:rPr>
        <w:t>2. STAMP: What It Says and Why It Applies</w:t>
      </w:r>
    </w:p>
    <w:p>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1"/>
      </w:pPr>
      <w:r>
        <w:t>2.1 The Core Model</w:t>
      </w:r>
    </w:p>
    <w:p>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1"/>
      </w:pPr>
      <w:r>
        <w:t>2.2 The Feedback Requirement</w:t>
      </w:r>
    </w:p>
    <w:p>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1"/>
      </w:pPr>
      <w:r>
        <w:t>2.3 Why STAMP Has Not Been Applied Here</w:t>
      </w:r>
    </w:p>
    <w:p>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jc w:val="center"/>
      </w:pPr>
      <w:r>
        <w:rPr>
          <w:b/>
          <w:sz w:val="32"/>
        </w:rPr>
        <w:t>3. Agent Responsibility Engineering</w:t>
      </w:r>
    </w:p>
    <w:p>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1"/>
      </w:pPr>
      <w:r>
        <w:t>3.1 Foundational Layer: Identity and Authority</w:t>
      </w:r>
    </w:p>
    <w:p>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1"/>
      </w:pPr>
      <w:r>
        <w:t>3.2 Operational Layer: Real-Time Enforcement</w:t>
      </w:r>
    </w:p>
    <w:p>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3.3 Epistemological Layer: Process Model and Learning</w:t>
      </w:r>
    </w:p>
    <w:p>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1"/>
      </w:pPr>
      <w:r>
        <w:t>3.4 Posture Layer: Control Structure Integrity</w:t>
      </w:r>
    </w:p>
    <w:p>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1"/>
      </w:pPr>
      <w:r>
        <w:t>3.5 SDAVL: The Closed Control Loop</w:t>
      </w:r>
    </w:p>
    <w:p>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jc w:val="center"/>
      </w:pPr>
      <w:r>
        <w:rPr>
          <w:b/>
          <w:sz w:val="32"/>
        </w:rPr>
        <w:t>4. Bounded STPA closure and correspondence (execution boundary)</w:t>
      </w:r>
    </w:p>
    <w:p>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pPr>
        <w:pStyle w:val="ListNumber"/>
      </w:pP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pPr>
        <w:pStyle w:val="ListNumber"/>
      </w:pPr>
      <w:r>
        <w:rPr>
          <w:b/>
        </w:rPr>
        <w:t>STPA completeness (within boundary):</w:t>
      </w:r>
      <w:r>
        <w:t xml:space="preserve"> For the </w:t>
      </w:r>
      <w:r>
        <w:rPr>
          <w:b/>
        </w:rPr>
        <w:t>defined execution boundary</w:t>
      </w:r>
      <w:r>
        <w:t xml:space="preserve"> fixed in `research/stpa/STPA_PACKAGE.md` §1 and closed in `research/stpa/STPA_RESOLUTION.md`,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2"/>
      </w:pPr>
      <w:r>
        <w:t>4.1 Scope boundaries (preserved intent)</w:t>
      </w:r>
    </w:p>
    <w:p>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2"/>
      </w:pPr>
      <w:r>
        <w:t>4.2 Hazard-level closure (summary)</w:t>
      </w:r>
    </w:p>
    <w:p>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jc w:val="center"/>
      </w:pPr>
      <w:r>
        <w:rPr>
          <w:b/>
          <w:sz w:val="32"/>
        </w:rPr>
        <w:t>5. The Agent Passport</w:t>
      </w:r>
    </w:p>
    <w:p>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1"/>
      </w:pPr>
      <w:r>
        <w:t>5.1 What the Passport Contains</w:t>
      </w:r>
    </w:p>
    <w:p>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1"/>
      </w:pPr>
      <w:r>
        <w:t>5.2 The Multi-Agent Recursion Problem</w:t>
      </w:r>
    </w:p>
    <w:p>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jc w:val="center"/>
      </w:pPr>
      <w:r>
        <w:rPr>
          <w:b/>
          <w:sz w:val="32"/>
        </w:rPr>
        <w:t>6. The Operations Ledger</w:t>
      </w:r>
    </w:p>
    <w:p>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1"/>
      </w:pPr>
      <w:r>
        <w:t>6.1 The Four Properties</w:t>
      </w:r>
    </w:p>
    <w:p>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1"/>
      </w:pPr>
      <w:r>
        <w:t>6.2 Trust-Minimization, Not Absolute Trust</w:t>
      </w:r>
    </w:p>
    <w:p>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1"/>
      </w:pPr>
      <w:r>
        <w:t>6.3 Ledger as Feedback</w:t>
      </w:r>
    </w:p>
    <w:p>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jc w:val="center"/>
      </w:pPr>
      <w:r>
        <w:rPr>
          <w:b/>
          <w:sz w:val="32"/>
        </w:rPr>
        <w:t>7. The Governance Coprocessor</w:t>
      </w:r>
    </w:p>
    <w:p>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1"/>
      </w:pPr>
      <w:r>
        <w:t>7.1 The Verdict Sequence</w:t>
      </w:r>
    </w:p>
    <w:p>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1"/>
      </w:pPr>
      <w:r>
        <w:t>7.2 Physical Interposition</w:t>
      </w:r>
    </w:p>
    <w:p>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jc w:val="center"/>
      </w:pPr>
      <w:r>
        <w:rPr>
          <w:b/>
          <w:sz w:val="32"/>
        </w:rPr>
        <w:t>8. Failure Walkthrough: The Architecture Under Stress</w:t>
      </w:r>
    </w:p>
    <w:p>
      <w:r>
        <w:t>*Illustrative scenario for exposition—not a field incident report tied to the frozen evidence bundle.*</w:t>
      </w:r>
    </w:p>
    <w:p>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1"/>
      </w:pPr>
      <w:r>
        <w:t>8.1 Scenario: Unauthorized data-access attempt (illustrative)</w:t>
      </w:r>
    </w:p>
    <w:p>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1"/>
      </w:pPr>
      <w:r>
        <w:t>8.2 Escalation: Adaptive control under repeated violation (illustrative)</w:t>
      </w:r>
    </w:p>
    <w:p>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1"/>
      </w:pPr>
      <w:r>
        <w:t>8.3 What this illustrates</w:t>
      </w:r>
    </w:p>
    <w:p>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jc w:val="center"/>
      </w:pPr>
      <w:r>
        <w:rPr>
          <w:b/>
          <w:sz w:val="32"/>
        </w:rPr>
        <w:t>9. Lightweight Formalism</w:t>
      </w:r>
    </w:p>
    <w:p>
      <w:r>
        <w:t xml:space="preserve">*The invariants below are </w:t>
      </w:r>
      <w:r>
        <w:rPr>
          <w:b/>
        </w:rPr>
        <w:t>architectural intent</w:t>
      </w:r>
      <w:r>
        <w:t xml:space="preserve"> on the governed path; deployment must preserve interposition. They are not TLAPS theorems.*</w:t>
      </w:r>
    </w:p>
    <w:p>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1"/>
      </w:pPr>
      <w:r>
        <w:t>9.1 State, Action, and Control</w:t>
      </w:r>
    </w:p>
    <w:p>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1"/>
      </w:pPr>
      <w:r>
        <w:t>9.2 The Ledger Update Function</w:t>
      </w:r>
    </w:p>
    <w:p>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1"/>
      </w:pPr>
      <w:r>
        <w:t>9.3 The SDAVL Loop as a State Transition System</w:t>
      </w:r>
    </w:p>
    <w:p>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1"/>
      </w:pPr>
      <w:r>
        <w:t>9.4 The Safety Property</w:t>
      </w:r>
    </w:p>
    <w:p>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1"/>
      </w:pPr>
      <w:r>
        <w:t>9.5 The Audit-Completeness Invariant</w:t>
      </w:r>
    </w:p>
    <w:p>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1"/>
      </w:pPr>
      <w:r>
        <w:t>9.6 Evidence and explainability</w:t>
      </w:r>
    </w:p>
    <w:p>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jc w:val="center"/>
      </w:pPr>
      <w:r>
        <w:rPr>
          <w:b/>
          <w:sz w:val="32"/>
        </w:rPr>
        <w:t>10. The Complete Architecture</w:t>
      </w:r>
    </w:p>
    <w:p>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1"/>
      </w:pPr>
      <w:r>
        <w:t>10.1 The Interaction Sequence</w:t>
      </w:r>
    </w:p>
    <w:p>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1"/>
      </w:pPr>
      <w:r>
        <w:t>10.2 Failure Mode Analysis</w:t>
      </w:r>
    </w:p>
    <w:p>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jc w:val="center"/>
      </w:pPr>
      <w:r>
        <w:rPr>
          <w:b/>
          <w:sz w:val="32"/>
        </w:rPr>
        <w:t>11. Structural contrast with output-filtering guardrails</w:t>
      </w:r>
    </w:p>
    <w:p>
      <w:r>
        <w:t>*Qualitative comparison; NeMo Guardrails and ARE both evolve—check current docs before citing feature matrices.*</w:t>
      </w:r>
    </w:p>
    <w:p>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jc w:val="center"/>
      </w:pPr>
      <w:r>
        <w:rPr>
          <w:b/>
          <w:sz w:val="32"/>
        </w:rPr>
        <w:t>12. Limits of ARE</w:t>
      </w:r>
    </w:p>
    <w:p>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1"/>
      </w:pPr>
      <w:r>
        <w:t>12.1 What ARE Does Not Govern</w:t>
      </w:r>
    </w:p>
    <w:p>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1"/>
      </w:pPr>
      <w:r>
        <w:t>12.2 Where ARE fails closed (scoped)</w:t>
      </w:r>
    </w:p>
    <w:p>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jc w:val="center"/>
      </w:pPr>
      <w:r>
        <w:rPr>
          <w:b/>
          <w:sz w:val="32"/>
        </w:rPr>
        <w:t>13. Evidence, reproducibility, and frozen packet</w:t>
      </w:r>
    </w:p>
    <w:p>
      <w:r>
        <w:rPr>
          <w:b/>
        </w:rPr>
        <w:t>This is not “full evidence or nothing.”</w:t>
      </w:r>
      <w:r>
        <w:t xml:space="preserve"> There are </w:t>
      </w:r>
      <w:r>
        <w:rPr>
          <w:b/>
        </w:rPr>
        <w:t>three levels</w:t>
      </w:r>
      <w:r>
        <w:t xml:space="preserve"> so public readers are not asked to download megabytes of logs, while reviewers can still escalate to </w:t>
      </w:r>
      <w:r>
        <w:rPr>
          <w:b/>
        </w:rPr>
        <w:t>hashed, replayable</w:t>
      </w:r>
      <w:r>
        <w:t xml:space="preserve"> artifacts.</w:t>
      </w:r>
    </w:p>
    <w:p>
      <w:pPr>
        <w:pStyle w:val="Heading1"/>
      </w:pPr>
      <w:r>
        <w:t>13.1 Level 1 — Always public (no NDA, no bundle download)</w:t>
      </w:r>
    </w:p>
    <w:p>
      <w:pPr>
        <w:pStyle w:val="ListNumber"/>
      </w:pPr>
      <w:r>
        <w:t xml:space="preserve">This paper (including </w:t>
      </w:r>
      <w:r>
        <w:rPr>
          <w:b/>
        </w:rPr>
        <w:t>Appendices A–C</w:t>
      </w:r>
      <w:r>
        <w:t>: roles, hazard table, graphic summary).</w:t>
      </w:r>
    </w:p>
    <w:p>
      <w:pPr>
        <w:pStyle w:val="ListNumber"/>
      </w:pPr>
      <w:r>
        <w:t>The public discipline repository (README, tenets, PDFs): [github.com/srex-dev/AgentResponsibilityEngineering](https://github.com/srex-dev/AgentResponsibilityEngineering).</w:t>
      </w:r>
    </w:p>
    <w:p>
      <w:pPr>
        <w:pStyle w:val="ListNumber"/>
      </w:pPr>
      <w:r>
        <w:rPr>
          <w:b/>
        </w:rPr>
        <w:t>`paper/EVIDENCE_PUBLIC_SUMMARY.md`</w:t>
      </w:r>
      <w:r>
        <w:t xml:space="preserve"> — one-page </w:t>
      </w:r>
      <w:r>
        <w:rPr>
          <w:b/>
        </w:rPr>
        <w:t>attestation</w:t>
      </w:r>
      <w:r>
        <w:t xml:space="preserve">: what was frozen, which commit, what *classes* of artifact exist (still </w:t>
      </w:r>
      <w:r>
        <w:rPr>
          <w:b/>
        </w:rPr>
        <w:t>not</w:t>
      </w:r>
      <w:r>
        <w:t xml:space="preserve"> raw logs).</w:t>
      </w:r>
    </w:p>
    <w:p>
      <w:r>
        <w:rPr>
          <w:b/>
        </w:rPr>
        <w:t>Why the public PDF does not embed the full bundle:</w:t>
      </w:r>
      <w:r>
        <w:t xml:space="preserve"> logs and internal gate matrices expose </w:t>
      </w:r>
      <w:r>
        <w:rPr>
          <w:b/>
        </w:rPr>
        <w:t>integration topology, paths, and operational detail</w:t>
      </w:r>
      <w:r>
        <w:t xml:space="preserve"> we treat as </w:t>
      </w:r>
      <w:r>
        <w:rPr>
          <w:b/>
        </w:rPr>
        <w:t>implementation hygiene / IP</w:t>
      </w:r>
      <w:r>
        <w:t xml:space="preserve">. That is normal for industrial safety cases: the </w:t>
      </w:r>
      <w:r>
        <w:rPr>
          <w:b/>
        </w:rPr>
        <w:t>argument</w:t>
      </w:r>
      <w:r>
        <w:t xml:space="preserve"> is public; the </w:t>
      </w:r>
      <w:r>
        <w:rPr>
          <w:b/>
        </w:rPr>
        <w:t>engineering packet</w:t>
      </w:r>
      <w:r>
        <w:t xml:space="preserve"> is often shared under confidentiality or as supplementary material.</w:t>
      </w:r>
    </w:p>
    <w:p>
      <w:pPr>
        <w:pStyle w:val="Heading1"/>
      </w:pPr>
      <w:r>
        <w:t>13.2 Level 2 — Repository research spine (clone the `are` repo)</w:t>
      </w:r>
    </w:p>
    <w:p>
      <w:r>
        <w:t>Normative STPA closure and traceability live under `research/stpa/` (index `research/stpa/README.md`): `STPA_PACKAGE.md`, `STPA_RESOLUTION.md`, `UCA_ENUMERATION.md`, `HAZARD_UCA_CONSTRAINT_TEST_CLOSURE.md`, `BOUNDARY_AND_ASSUMPTIONS_STPA.md`, `CAUSAL_SCENARIOS_SYSTEMATIC.md`. Interposition audit: `research/interposition_audit.md`. Claims and reviewer matrix: `research/claims_ledger.md`, `research/reviewer_attacks.md`. Track summaries: `research/track-a-stamp/EVIDENCE_SUMMARY.md`, `research/track-b-interposition/EVIDENCE_SUMMARY.md`; `research/DUAL_TRACK_SUMMARY.md`.</w:t>
      </w:r>
    </w:p>
    <w:p>
      <w:pPr>
        <w:pStyle w:val="Heading1"/>
      </w:pPr>
      <w:r>
        <w:t>13.3 Level 3 — Full frozen packet (on request, or ancillary zip)</w:t>
      </w:r>
    </w:p>
    <w:p>
      <w:r>
        <w:rPr>
          <w:b/>
        </w:rPr>
        <w:t>Directory:</w:t>
      </w:r>
      <w:r>
        <w:t xml:space="preserve"> `research/evidence-bundles/2026-04-26-stamp-safety-reviewer-packet-submission/` — copies of normative docs, </w:t>
      </w:r>
      <w:r>
        <w:rPr>
          <w:b/>
        </w:rPr>
        <w:t>full</w:t>
      </w:r>
      <w:r>
        <w:t xml:space="preserve"> pytest + internal-gate transcripts, `GIT_HEAD.txt`, `MANIFEST.md`, and </w:t>
      </w:r>
      <w:r>
        <w:rPr>
          <w:b/>
        </w:rPr>
        <w:t>`FILES.sha256`</w:t>
      </w:r>
      <w:r>
        <w:t xml:space="preserve"> for integrity. </w:t>
      </w:r>
      <w:r>
        <w:rPr>
          <w:b/>
        </w:rPr>
        <w:t>Program chairs / reviewers</w:t>
      </w:r>
      <w:r>
        <w:t xml:space="preserve"> may request this zip under confidentiality, or authors may attach it as </w:t>
      </w:r>
      <w:r>
        <w:rPr>
          <w:b/>
        </w:rPr>
        <w:t>arXiv Ancillary</w:t>
      </w:r>
      <w:r>
        <w:t xml:space="preserve"> / journal supplementary. </w:t>
      </w:r>
      <w:r>
        <w:rPr>
          <w:b/>
        </w:rPr>
        <w:t>Assemble</w:t>
      </w:r>
      <w:r>
        <w:t xml:space="preserve"> a portable tree with `python tools/paper/assemble_submission_package.py` (see `paper/submission-package/README.md`).</w:t>
      </w:r>
    </w:p>
    <w:p>
      <w:r>
        <w:rPr>
          <w:b/>
        </w:rPr>
        <w:t>Independent verification without full source:</w:t>
      </w:r>
      <w:r>
        <w:t xml:space="preserve"> Level 3 provides </w:t>
      </w:r>
      <w:r>
        <w:rPr>
          <w:b/>
        </w:rPr>
        <w:t>verifiable artifacts</w:t>
      </w:r>
      <w:r>
        <w:t xml:space="preserve"> (hashes, transcripts, structured outputs, normative closure text) </w:t>
      </w:r>
      <w:r>
        <w:rPr>
          <w:b/>
        </w:rPr>
        <w:t>sufficient to inspect the paper’s evidentiary claims</w:t>
      </w:r>
      <w:r>
        <w:t xml:space="preserve">; Level 1–2 still let readers </w:t>
      </w:r>
      <w:r>
        <w:rPr>
          <w:b/>
        </w:rPr>
        <w:t>orient</w:t>
      </w:r>
      <w:r>
        <w:t xml:space="preserve"> without that download.</w:t>
      </w:r>
    </w:p>
    <w:p>
      <w:pPr>
        <w:pStyle w:val="Heading1"/>
      </w:pPr>
      <w:r>
        <w:t>13.4 Graphic summary (tables + equation-style figures)</w:t>
      </w:r>
    </w:p>
    <w:p>
      <w:r>
        <w:t xml:space="preserve">The Word/PDF pipeline embeds raster figures generated from `tools/paper/render_paper_assets.py` (run before `md_to_arxiv_docx.py`). </w:t>
      </w:r>
      <w:r>
        <w:rPr>
          <w:b/>
        </w:rPr>
        <w:t>Golden path:</w:t>
      </w:r>
    </w:p>
    <w:p>
      <w:pPr>
        <w:jc w:val="center"/>
      </w:pPr>
      <w:r>
        <w:drawing>
          <wp:inline xmlns:a="http://schemas.openxmlformats.org/drawingml/2006/main" xmlns:pic="http://schemas.openxmlformats.org/drawingml/2006/picture">
            <wp:extent cx="5394960" cy="1181886"/>
            <wp:docPr id="1" name="Picture 1"/>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1. Governed execution chain (graphic summary).</w:t>
      </w:r>
    </w:p>
    <w:p>
      <w:r>
        <w:rPr>
          <w:b/>
        </w:rPr>
        <w:t>PEV ordering and H6 (Allow+Ledger) invariants (rendered “equation” images):</w:t>
      </w:r>
    </w:p>
    <w:p>
      <w:pPr>
        <w:jc w:val="center"/>
      </w:pPr>
      <w:r>
        <w:drawing>
          <wp:inline xmlns:a="http://schemas.openxmlformats.org/drawingml/2006/main" xmlns:pic="http://schemas.openxmlformats.org/drawingml/2006/picture">
            <wp:extent cx="5394960" cy="1065355"/>
            <wp:docPr id="2" name="Picture 2"/>
            <wp:cNvGraphicFramePr>
              <a:graphicFrameLocks noChangeAspect="1"/>
            </wp:cNvGraphicFramePr>
            <a:graphic>
              <a:graphicData uri="http://schemas.openxmlformats.org/drawingml/2006/picture">
                <pic:pic>
                  <pic:nvPicPr>
                    <pic:cNvPr id="0" name="eq_ordering.png"/>
                    <pic:cNvPicPr/>
                  </pic:nvPicPr>
                  <pic:blipFill>
                    <a:blip r:embed="rId10"/>
                    <a:stretch>
                      <a:fillRect/>
                    </a:stretch>
                  </pic:blipFill>
                  <pic:spPr>
                    <a:xfrm>
                      <a:off x="0" y="0"/>
                      <a:ext cx="5394960" cy="1065355"/>
                    </a:xfrm>
                    <a:prstGeom prst="rect"/>
                  </pic:spPr>
                </pic:pic>
              </a:graphicData>
            </a:graphic>
          </wp:inline>
        </w:drawing>
      </w:r>
    </w:p>
    <w:p>
      <w:pPr>
        <w:jc w:val="center"/>
      </w:pPr>
      <w:r>
        <w:rPr>
          <w:i/>
          <w:sz w:val="20"/>
        </w:rPr>
        <w:t>Equation 1. Validate → receipt → execute on the golden path.</w:t>
      </w:r>
    </w:p>
    <w:p>
      <w:pPr>
        <w:jc w:val="center"/>
      </w:pPr>
      <w:r>
        <w:drawing>
          <wp:inline xmlns:a="http://schemas.openxmlformats.org/drawingml/2006/main" xmlns:pic="http://schemas.openxmlformats.org/drawingml/2006/picture">
            <wp:extent cx="5394960" cy="1460813"/>
            <wp:docPr id="3" name="Picture 3"/>
            <wp:cNvGraphicFramePr>
              <a:graphicFrameLocks noChangeAspect="1"/>
            </wp:cNvGraphicFramePr>
            <a:graphic>
              <a:graphicData uri="http://schemas.openxmlformats.org/drawingml/2006/picture">
                <pic:pic>
                  <pic:nvPicPr>
                    <pic:cNvPr id="0" name="eq_allow_ledger.png"/>
                    <pic:cNvPicPr/>
                  </pic:nvPicPr>
                  <pic:blipFill>
                    <a:blip r:embed="rId11"/>
                    <a:stretch>
                      <a:fillRect/>
                    </a:stretch>
                  </pic:blipFill>
                  <pic:spPr>
                    <a:xfrm>
                      <a:off x="0" y="0"/>
                      <a:ext cx="5394960" cy="1460813"/>
                    </a:xfrm>
                    <a:prstGeom prst="rect"/>
                  </pic:spPr>
                </pic:pic>
              </a:graphicData>
            </a:graphic>
          </wp:inline>
        </w:drawing>
      </w:r>
    </w:p>
    <w:p>
      <w:pPr>
        <w:jc w:val="center"/>
      </w:pPr>
      <w:r>
        <w:rPr>
          <w:i/>
          <w:sz w:val="20"/>
        </w:rPr>
        <w:t>Equation 2. Allow requires durable ledger evidence (else deny).</w:t>
      </w:r>
    </w:p>
    <w:p>
      <w:r>
        <w:rPr>
          <w:b/>
        </w:rPr>
        <w:t>Formal methods (not shown as images):</w:t>
      </w:r>
      <w:r>
        <w:t xml:space="preserve"> `formal/tla/are_execution_boundary.tla` is a </w:t>
      </w:r>
      <w:r>
        <w:rPr>
          <w:b/>
        </w:rPr>
        <w:t>TLA+ skeleton</w:t>
      </w:r>
      <w:r>
        <w:t xml:space="preserve"> — a </w:t>
      </w:r>
      <w:r>
        <w:rPr>
          <w:b/>
        </w:rPr>
        <w:t>proof target</w:t>
      </w:r>
      <w:r>
        <w:t>, not a TLAPS proof.</w:t>
      </w:r>
    </w:p>
    <w:p>
      <w:pPr>
        <w:jc w:val="center"/>
      </w:pPr>
      <w:r>
        <w:rPr>
          <w:b/>
          <w:sz w:val="32"/>
        </w:rPr>
        <w:t>14. Related Work</w:t>
      </w:r>
    </w:p>
    <w:p>
      <w:pPr>
        <w:pStyle w:val="Heading1"/>
      </w:pPr>
      <w:r>
        <w:t>14.1 STAMP Applications in Software and AI Systems</w:t>
      </w:r>
    </w:p>
    <w:p>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1"/>
      </w:pPr>
      <w:r>
        <w:t>14.2 Agent Governance Frameworks</w:t>
      </w:r>
    </w:p>
    <w:p>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1"/>
      </w:pPr>
      <w:r>
        <w:t>14.4 AI Safety and Alignment</w:t>
      </w:r>
    </w:p>
    <w:p>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jc w:val="center"/>
      </w:pPr>
      <w:r>
        <w:rPr>
          <w:b/>
          <w:sz w:val="32"/>
        </w:rPr>
        <w:t>15. Conclusion</w:t>
      </w:r>
    </w:p>
    <w:p>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2"/>
      </w:pPr>
      <w:r>
        <w:t>15.1 Future work</w:t>
      </w:r>
    </w:p>
    <w:p>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1"/>
      </w:pPr>
      <w:r>
        <w:t>Additional references (from source manuscript)</w:t>
      </w:r>
    </w:p>
    <w:p>
      <w:r>
        <w:t>Rabanser, S., Kapoor, S., Kirgis, P., Liu, K., Utpala, S., &amp; Narayanan, A. (2026). Towards a Science of AI Agent Reliability. arXiv:2602.16666. Princeton University.</w:t>
      </w:r>
    </w:p>
    <w:p>
      <w:r>
        <w:t>Fernandez, M. (2026). Agent Control Protocol: Admission Control for Agent Actions. arXiv:2603.18829. TraslaIA.</w:t>
      </w:r>
    </w:p>
    <w:p>
      <w:r>
        <w:t>Kaptein, M., Khan, V.-J., &amp; Podstavnychy, A. (2026). Runtime Governance for AI Agents: Policies on Paths. arXiv:2603.16586.</w:t>
      </w:r>
    </w:p>
    <w:p>
      <w:r>
        <w:t>Mazzocchetti, A. M. (2026). Cryptographic Runtime Governance for Autonomous AI Systems: The Aegis Architecture for Verifiable Policy Enforcement. arXiv:2603.16938.</w:t>
      </w:r>
    </w:p>
    <w:p>
      <w:r>
        <w:t>Gaurav, S., Heikkonen, J., &amp; Chaudhary, J. (2025). Governance-as-a-Service: A Multi-Agent Framework for AI System Compliance and Policy Enforcement. arXiv:2508.18765.</w:t>
      </w:r>
    </w:p>
    <w:p>
      <w:r>
        <w:t>Abdulkhaleq, A., &amp; Wagner, S. (2015). XSTAMPP: An eXtensible STAMP Platform as Tool Support for Safety Engineering. STAMP Workshop, MIT.</w:t>
      </w:r>
    </w:p>
    <w:p>
      <w:r>
        <w:t>Bai, Y., Jones, A., Ndousse, K., et al. (2022). Training a Helpful and Harmless Assistant with Reinforcement Learning from Human Feedback. arXiv:2204.05862.</w:t>
      </w:r>
    </w:p>
    <w:p>
      <w:r>
        <w:t>Christiano, P., Leike, J., Brown, T., et al. (2017). Deep Reinforcement Learning from Human Preferences. NeurIPS 2017.</w:t>
      </w:r>
    </w:p>
    <w:p>
      <w:r>
        <w:t>Federal Reserve Board. (2011). SR 11-7: Guidance on Model Risk Management. Board of Governors of the Federal Reserve System.</w:t>
      </w:r>
    </w:p>
    <w:p>
      <w:r>
        <w:t>Kershaw, J. R. M. (2025). Guardian-Agent (historical coprocessor reference implementation). *Superseded for this safety case by the later ARE architecture; no public distribution URL.*</w:t>
      </w:r>
    </w:p>
    <w:p>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r>
        <w:t>Leveson, N. (1995). Safeware: System Safety and Computers. Addison-Wesley.</w:t>
      </w:r>
    </w:p>
    <w:p>
      <w:r>
        <w:t>Leveson, N. (2011). Engineering a Safer World: Systems Thinking Applied to Safety. MIT Press.</w:t>
      </w:r>
    </w:p>
    <w:p>
      <w:r>
        <w:t>Leveson, N., &amp; Thomas, J. (2018). STPA Handbook. MIT Partnership for Systems Approaches to Safety and Security.</w:t>
      </w:r>
    </w:p>
    <w:p>
      <w:r>
        <w:t>NIST. (2023). Artificial Intelligence Risk Management Framework (AI RMF 1.0). National Institute of Standards and Technology.</w:t>
      </w:r>
    </w:p>
    <w:p>
      <w:r>
        <w:t>NVIDIA. (2023). NeMo Guardrails: A Toolkit for Controllable and Safe LLM Applications. github.com/NVIDIA/NeMo-Guardrails.</w:t>
      </w:r>
    </w:p>
    <w:p>
      <w:r>
        <w:t>Salay, R., Queiroz, R., &amp; Czarnecki, K. (2018). An Analysis of ISO 26262: Using Machine Learning Safely in Automotive Software. SAE Technical Paper.</w:t>
      </w:r>
    </w:p>
    <w:p>
      <w:r>
        <w:t>Thomas, J. (2013). Extending and Automating a Systems-Theoretic Hazard Analysis for Requirements Generation and Analysis. MIT PhD Thesis.</w:t>
      </w:r>
    </w:p>
    <w:p>
      <w:pPr>
        <w:pStyle w:val="Heading1"/>
      </w:pPr>
      <w:r>
        <w:t>Core references (STPA / systems)</w:t>
      </w:r>
    </w:p>
    <w:p>
      <w:pPr>
        <w:pStyle w:val="ListNumber"/>
      </w:pPr>
      <w:r>
        <w:t>Leveson, N.G. *Engineering a Safer World: Systems Thinking Applied to Safety.* MIT Press, 2012.</w:t>
      </w:r>
    </w:p>
    <w:p>
      <w:pPr>
        <w:pStyle w:val="ListNumber"/>
      </w:pPr>
      <w:r>
        <w:t>Leveson, N.G. and Thomas, J.P. *STPA Handbook.* MIT, 2018.</w:t>
      </w:r>
    </w:p>
    <w:p>
      <w:pPr>
        <w:pStyle w:val="ListNumber"/>
      </w:pPr>
      <w:r>
        <w:t>Saltzer, J.H., Reed, D.P. and Clark, D.D. End-to-End Arguments in System Design. *ACM TOCS*, 2(4):277–288, 1984.</w:t>
      </w:r>
    </w:p>
    <w:p>
      <w:pPr>
        <w:pStyle w:val="ListNumber"/>
      </w:pPr>
      <w:r>
        <w:t>Schneider, F.B. Enforceable Security Policies. *ACM TISSEC*, 3(1):30–50, 2000.</w:t>
      </w:r>
    </w:p>
    <w:p>
      <w:pPr>
        <w:pStyle w:val="ListNumber"/>
      </w:pPr>
      <w:r>
        <w:t>Lamport, L. *Specifying Systems: The TLA+ Language and Tools.* Addison-Wesley, 2002.</w:t>
      </w:r>
    </w:p>
    <w:p>
      <w:pPr>
        <w:pStyle w:val="ListNumber"/>
      </w:pPr>
      <w:r>
        <w:t>NIST. *Artificial Intelligence Risk Management Framework (AI RMF 1.0).* NIST AI 100-1, 2023.</w:t>
      </w:r>
    </w:p>
    <w:p>
      <w:pPr>
        <w:pStyle w:val="ListNumber"/>
      </w:pPr>
      <w:r>
        <w:t xml:space="preserve">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pPr>
        <w:pStyle w:val="ListNumber"/>
      </w:pPr>
      <w:r>
        <w:t>Normative STPA closure and evidence spine (this repository): `research/stpa/README.md`, `research/stpa/STPA_RESOLUTION.md`, `research/stpa/STPA_PACKAGE.md`, `research/stpa/UCA_ENUMERATION.md`, `research/interposition_audit.md`, `research/evidence-bundles/README.md`.</w:t>
      </w:r>
    </w:p>
    <w:p>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1"/>
      </w:pPr>
      <w:r>
        <w:t>Appendix A. Implementation roles (public preprint — topology redacted)</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Public preprint naming</w:t>
            </w:r>
          </w:p>
        </w:tc>
      </w:tr>
      <w:tr>
        <w:tc>
          <w:tcPr>
            <w:tcW w:type="dxa" w:w="4320"/>
          </w:tcPr>
          <w:p>
            <w:r>
              <w:t>Policy evaluation / coprocessor</w:t>
            </w:r>
          </w:p>
        </w:tc>
        <w:tc>
          <w:tcPr>
            <w:tcW w:type="dxa" w:w="4320"/>
          </w:tcPr>
          <w:p>
            <w:r>
              <w:t>Policy coprocessor service</w:t>
            </w:r>
          </w:p>
        </w:tc>
      </w:tr>
      <w:tr>
        <w:tc>
          <w:tcPr>
            <w:tcW w:type="dxa" w:w="4320"/>
          </w:tcPr>
          <w:p>
            <w:r>
              <w:t>Identity / passports / delegation</w:t>
            </w:r>
          </w:p>
        </w:tc>
        <w:tc>
          <w:tcPr>
            <w:tcW w:type="dxa" w:w="4320"/>
          </w:tcPr>
          <w:p>
            <w:r>
              <w:t>Passport issuance, agent registry, authority engine</w:t>
            </w:r>
          </w:p>
        </w:tc>
      </w:tr>
      <w:tr>
        <w:tc>
          <w:tcPr>
            <w:tcW w:type="dxa" w:w="4320"/>
          </w:tcPr>
          <w:p>
            <w:r>
              <w:t>Pre-execution gate</w:t>
            </w:r>
          </w:p>
        </w:tc>
        <w:tc>
          <w:tcPr>
            <w:tcW w:type="dxa" w:w="4320"/>
          </w:tcPr>
          <w:p>
            <w:r>
              <w:t>Pre-execution validator</w:t>
            </w:r>
          </w:p>
        </w:tc>
      </w:tr>
      <w:tr>
        <w:tc>
          <w:tcPr>
            <w:tcW w:type="dxa" w:w="4320"/>
          </w:tcPr>
          <w:p>
            <w:r>
              <w:t>Orchestrated execution</w:t>
            </w:r>
          </w:p>
        </w:tc>
        <w:tc>
          <w:tcPr>
            <w:tcW w:type="dxa" w:w="4320"/>
          </w:tcPr>
          <w:p>
            <w:r>
              <w:t>Atomic execution engine</w:t>
            </w:r>
          </w:p>
        </w:tc>
      </w:tr>
      <w:tr>
        <w:tc>
          <w:tcPr>
            <w:tcW w:type="dxa" w:w="4320"/>
          </w:tcPr>
          <w:p>
            <w:r>
              <w:t>Evidence binding</w:t>
            </w:r>
          </w:p>
        </w:tc>
        <w:tc>
          <w:tcPr>
            <w:tcW w:type="dxa" w:w="4320"/>
          </w:tcPr>
          <w:p>
            <w:r>
              <w:t>Receipt generator</w:t>
            </w:r>
          </w:p>
        </w:tc>
      </w:tr>
      <w:tr>
        <w:tc>
          <w:tcPr>
            <w:tcW w:type="dxa" w:w="4320"/>
          </w:tcPr>
          <w:p>
            <w:r>
              <w:t>Durable history</w:t>
            </w:r>
          </w:p>
        </w:tc>
        <w:tc>
          <w:tcPr>
            <w:tcW w:type="dxa" w:w="4320"/>
          </w:tcPr>
          <w:p>
            <w:r>
              <w:t>Immutable ledger</w:t>
            </w:r>
          </w:p>
        </w:tc>
      </w:tr>
      <w:tr>
        <w:tc>
          <w:tcPr>
            <w:tcW w:type="dxa" w:w="4320"/>
          </w:tcPr>
          <w:p>
            <w:r>
              <w:t>Edge transport</w:t>
            </w:r>
          </w:p>
        </w:tc>
        <w:tc>
          <w:tcPr>
            <w:tcW w:type="dxa" w:w="4320"/>
          </w:tcPr>
          <w:p>
            <w:r>
              <w:t>API gateway (transport only)</w:t>
            </w:r>
          </w:p>
        </w:tc>
      </w:tr>
    </w:tbl>
    <w:p>
      <w:r>
        <w:t xml:space="preserve">*A </w:t>
      </w:r>
      <w:r>
        <w:rPr>
          <w:b/>
        </w:rPr>
        <w:t>reviewer supplement</w:t>
      </w:r>
      <w:r>
        <w:t xml:space="preserve"> may map roles to internal paths under confidentiality.*</w:t>
      </w:r>
    </w:p>
    <w:p>
      <w:pPr>
        <w:pStyle w:val="Heading1"/>
      </w:pPr>
      <w:r>
        <w:t>Appendix B. Hazard closure at a glance (normative summary)</w:t>
      </w:r>
    </w:p>
    <w:p>
      <w:r>
        <w:t>*Authoritative rationale, residuals, and assumptions: `research/stpa/STPA_RESOLUTION.md`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Hazard (abbrev.)</w:t>
            </w:r>
          </w:p>
        </w:tc>
        <w:tc>
          <w:tcPr>
            <w:tcW w:type="dxa" w:w="2880"/>
          </w:tcPr>
          <w:p>
            <w:r>
              <w:rPr>
                <w:b/>
              </w:rPr>
              <w:t>Resolution (within boundary)</w:t>
            </w:r>
          </w:p>
        </w:tc>
      </w:tr>
      <w:tr>
        <w:tc>
          <w:tcPr>
            <w:tcW w:type="dxa" w:w="2880"/>
          </w:tcPr>
          <w:p>
            <w:r>
              <w:t>**H1**</w:t>
            </w:r>
          </w:p>
        </w:tc>
        <w:tc>
          <w:tcPr>
            <w:tcW w:type="dxa" w:w="2880"/>
          </w:tcPr>
          <w:p>
            <w:r>
              <w:t>Execution without verdict bound to action</w:t>
            </w:r>
          </w:p>
        </w:tc>
        <w:tc>
          <w:tcPr>
            <w:tcW w:type="dxa" w:w="2880"/>
          </w:tcPr>
          <w:p>
            <w:r>
              <w:t>**Mitigated**</w:t>
            </w:r>
          </w:p>
        </w:tc>
      </w:tr>
      <w:tr>
        <w:tc>
          <w:tcPr>
            <w:tcW w:type="dxa" w:w="2880"/>
          </w:tcPr>
          <w:p>
            <w:r>
              <w:t>**H2**</w:t>
            </w:r>
          </w:p>
        </w:tc>
        <w:tc>
          <w:tcPr>
            <w:tcW w:type="dxa" w:w="2880"/>
          </w:tcPr>
          <w:p>
            <w:r>
              <w:t>Invalid / forged / expired authority as valid</w:t>
            </w:r>
          </w:p>
        </w:tc>
        <w:tc>
          <w:tcPr>
            <w:tcW w:type="dxa" w:w="2880"/>
          </w:tcPr>
          <w:p>
            <w:r>
              <w:t>**Mitigated**</w:t>
            </w:r>
          </w:p>
        </w:tc>
      </w:tr>
      <w:tr>
        <w:tc>
          <w:tcPr>
            <w:tcW w:type="dxa" w:w="2880"/>
          </w:tcPr>
          <w:p>
            <w:r>
              <w:t>**H3**</w:t>
            </w:r>
          </w:p>
        </w:tc>
        <w:tc>
          <w:tcPr>
            <w:tcW w:type="dxa" w:w="2880"/>
          </w:tcPr>
          <w:p>
            <w:r>
              <w:t>Revocation not visible in time</w:t>
            </w:r>
          </w:p>
        </w:tc>
        <w:tc>
          <w:tcPr>
            <w:tcW w:type="dxa" w:w="2880"/>
          </w:tcPr>
          <w:p>
            <w:r>
              <w:t>**Accepted** (bounded)</w:t>
            </w:r>
          </w:p>
        </w:tc>
      </w:tr>
      <w:tr>
        <w:tc>
          <w:tcPr>
            <w:tcW w:type="dxa" w:w="2880"/>
          </w:tcPr>
          <w:p>
            <w:r>
              <w:t>**H4**</w:t>
            </w:r>
          </w:p>
        </w:tc>
        <w:tc>
          <w:tcPr>
            <w:tcW w:type="dxa" w:w="2880"/>
          </w:tcPr>
          <w:p>
            <w:r>
              <w:t>Evidence not bound before side effect</w:t>
            </w:r>
          </w:p>
        </w:tc>
        <w:tc>
          <w:tcPr>
            <w:tcW w:type="dxa" w:w="2880"/>
          </w:tcPr>
          <w:p>
            <w:r>
              <w:t>**Mitigated**</w:t>
            </w:r>
          </w:p>
        </w:tc>
      </w:tr>
      <w:tr>
        <w:tc>
          <w:tcPr>
            <w:tcW w:type="dxa" w:w="2880"/>
          </w:tcPr>
          <w:p>
            <w:r>
              <w:t>**H5**</w:t>
            </w:r>
          </w:p>
        </w:tc>
        <w:tc>
          <w:tcPr>
            <w:tcW w:type="dxa" w:w="2880"/>
          </w:tcPr>
          <w:p>
            <w:r>
              <w:t>Stale / incomplete process model</w:t>
            </w:r>
          </w:p>
        </w:tc>
        <w:tc>
          <w:tcPr>
            <w:tcW w:type="dxa" w:w="2880"/>
          </w:tcPr>
          <w:p>
            <w:r>
              <w:t>**Mitigated** + **Accepted** (residual)</w:t>
            </w:r>
          </w:p>
        </w:tc>
      </w:tr>
      <w:tr>
        <w:tc>
          <w:tcPr>
            <w:tcW w:type="dxa" w:w="2880"/>
          </w:tcPr>
          <w:p>
            <w:r>
              <w:t>**H6**</w:t>
            </w:r>
          </w:p>
        </w:tc>
        <w:tc>
          <w:tcPr>
            <w:tcW w:type="dxa" w:w="2880"/>
          </w:tcPr>
          <w:p>
            <w:r>
              <w:t>Degraded control / Ledger leaves permit path</w:t>
            </w:r>
          </w:p>
        </w:tc>
        <w:tc>
          <w:tcPr>
            <w:tcW w:type="dxa" w:w="2880"/>
          </w:tcPr>
          <w:p>
            <w:r>
              <w:t>**Mitigated** (Allow+Ledger) + **Accepted** (non-Allow edge)</w:t>
            </w:r>
          </w:p>
        </w:tc>
      </w:tr>
      <w:tr>
        <w:tc>
          <w:tcPr>
            <w:tcW w:type="dxa" w:w="2880"/>
          </w:tcPr>
          <w:p>
            <w:r>
              <w:t>**H7**</w:t>
            </w:r>
          </w:p>
        </w:tc>
        <w:tc>
          <w:tcPr>
            <w:tcW w:type="dxa" w:w="2880"/>
          </w:tcPr>
          <w:p>
            <w:r>
              <w:t>Strata disagree; pipeline not fail-safe</w:t>
            </w:r>
          </w:p>
        </w:tc>
        <w:tc>
          <w:tcPr>
            <w:tcW w:type="dxa" w:w="2880"/>
          </w:tcPr>
          <w:p>
            <w:r>
              <w:t>**Assumption** + **Accepted** (outside monolith)</w:t>
            </w:r>
          </w:p>
        </w:tc>
      </w:tr>
    </w:tbl>
    <w:p>
      <w:pPr>
        <w:pStyle w:val="Heading1"/>
      </w:pPr>
      <w:r>
        <w:t>Appendix C. Figure (graphic): golden governed execution chain</w:t>
      </w:r>
    </w:p>
    <w:p>
      <w:r>
        <w:t>*Graphic also shown in §13.4. Deployment routing and side channels remain explicit assumptions in `STPA_RESOLUTION.md`.*</w:t>
      </w:r>
    </w:p>
    <w:p>
      <w:pPr>
        <w:jc w:val="center"/>
      </w:pPr>
      <w:r>
        <w:drawing>
          <wp:inline xmlns:a="http://schemas.openxmlformats.org/drawingml/2006/main" xmlns:pic="http://schemas.openxmlformats.org/drawingml/2006/picture">
            <wp:extent cx="5394960" cy="1181886"/>
            <wp:docPr id="4" name="Picture 4"/>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C-1. Governed execution chain (graphic summary).</w:t>
      </w:r>
    </w:p>
    <w:p>
      <w:r>
        <w:t>*Version note: Assembled by `tools/paper/build_stamp_arxiv_reconciled.py` from `paper/STAMP_ARE_docx_paragraphs.txt` plus reconciled inserts; §5.2–§12.2 and §14.2 are spliced from `paper/stamp_arxiv_alignment_block.md` and `paper/stamp_arxiv_alignment_14_2.md` when present. Submission layout vs LaTeX: `paper/ARXIV_AND_EVIDENCE_REALITY.md`. Re-freeze evidence and update the commit hash when preparing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