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0000"/>
          <w:sz w:val="30"/>
        </w:rPr>
        <w:t>Tariff Impact Analyzer for Procurement</w:t>
      </w:r>
    </w:p>
    <w:p>
      <w:pPr>
        <w:spacing w:after="120"/>
        <w:jc w:val="center"/>
      </w:pPr>
      <w:r>
        <w:rPr>
          <w:b/>
          <w:color w:val="000000"/>
          <w:sz w:val="30"/>
        </w:rPr>
        <w:t>Problem and Solution Overview</w:t>
      </w:r>
    </w:p>
    <w:p>
      <w:pPr>
        <w:spacing w:before="160" w:after="40"/>
      </w:pPr>
      <w:r>
        <w:rPr>
          <w:b/>
          <w:color w:val="000000"/>
          <w:sz w:val="23"/>
        </w:rPr>
        <w:t>Problem Statement</w:t>
      </w:r>
    </w:p>
    <w:p>
      <w:pPr>
        <w:spacing w:after="80" w:line="252" w:lineRule="auto"/>
      </w:pPr>
      <w:r>
        <w:rPr>
          <w:color w:val="000000"/>
          <w:sz w:val="21"/>
        </w:rPr>
        <w:t>Procurement teams keep purchase order data, vendor details, tariff information, and invoice records spread across many spreadsheets. When tariff rates change, there is no easy way to see which orders are affected, which suppliers create risk, or where savings are being missed. Checking this by hand across many rows and many files takes a long time and mistakes are easy to make.</w:t>
      </w:r>
    </w:p>
    <w:p>
      <w:pPr>
        <w:spacing w:before="160" w:after="40"/>
      </w:pPr>
      <w:r>
        <w:rPr>
          <w:b/>
          <w:color w:val="000000"/>
          <w:sz w:val="23"/>
        </w:rPr>
        <w:t>What the Tool Does</w:t>
      </w:r>
    </w:p>
    <w:p>
      <w:pPr>
        <w:spacing w:after="80" w:line="252" w:lineRule="auto"/>
      </w:pPr>
      <w:r>
        <w:rPr>
          <w:color w:val="000000"/>
          <w:sz w:val="21"/>
        </w:rPr>
        <w:t>This is a web application that accepts a single procurement data file upload. The file contains related information such as purchase orders, vendor records, tariff rates, and invoice detail.</w:t>
      </w:r>
    </w:p>
    <w:p>
      <w:pPr>
        <w:spacing w:after="80" w:line="252" w:lineRule="auto"/>
      </w:pPr>
      <w:r>
        <w:rPr>
          <w:color w:val="000000"/>
          <w:sz w:val="21"/>
        </w:rPr>
        <w:t>The application reads the uploaded data and links the related records together using shared fields such as order number, product code, country of origin, and vendor identifier. Once the data is linked, the application runs a set of automated checks against the combined data.</w:t>
      </w:r>
    </w:p>
    <w:p>
      <w:pPr>
        <w:spacing w:after="80" w:line="252" w:lineRule="auto"/>
      </w:pPr>
      <w:r>
        <w:rPr>
          <w:color w:val="000000"/>
          <w:sz w:val="21"/>
        </w:rPr>
        <w:t>The checks are organized into a small number of focus areas. One area looks at cost impact, such as rising duty rates, high duty categories, cost calculation mismatches, and unusual order values. Another area looks at supplier and country risk, such as reliance on a single supplier, heavy reliance on one country, mismatches between a vendor record and the stated origin, and continued buying after a rate increase. A third area looks at compliance and savings opportunities, such as unused trade agreement benefits, inconsistent product classification, refundable duty on cancelled orders, and missing required fields.</w:t>
      </w:r>
    </w:p>
    <w:p>
      <w:pPr>
        <w:spacing w:after="80" w:line="252" w:lineRule="auto"/>
      </w:pPr>
      <w:r>
        <w:rPr>
          <w:color w:val="000000"/>
          <w:sz w:val="21"/>
        </w:rPr>
        <w:t>Each check produces a finding that includes the source record, what was found, and a suggested next step.</w:t>
      </w:r>
    </w:p>
    <w:p>
      <w:pPr>
        <w:spacing w:before="160" w:after="40"/>
      </w:pPr>
      <w:r>
        <w:rPr>
          <w:b/>
          <w:color w:val="000000"/>
          <w:sz w:val="23"/>
        </w:rPr>
        <w:t>Solution and Output</w:t>
      </w:r>
    </w:p>
    <w:p>
      <w:pPr>
        <w:spacing w:after="80" w:line="252" w:lineRule="auto"/>
      </w:pPr>
      <w:r>
        <w:rPr>
          <w:color w:val="000000"/>
          <w:sz w:val="21"/>
        </w:rPr>
        <w:t>All findings feed a dashboard with summary numbers, charts, and a map showing risk by country. A details page lists every finding for closer review. A question and answer box lets a user type a plain question and get an answer built from the same findings, so the answer always matches what is shown on the dashboard.</w:t>
      </w:r>
    </w:p>
    <w:p>
      <w:pPr>
        <w:spacing w:after="80" w:line="252" w:lineRule="auto"/>
      </w:pPr>
      <w:r>
        <w:rPr>
          <w:color w:val="000000"/>
          <w:sz w:val="21"/>
        </w:rPr>
        <w:t>The tool can also connect to an external text service to write short summaries and answer open questions in natural language. This is optional. If that service is not configured or not reachable, the tool automatically switches to a built in method that reads the same findings directly, so the dashboard and the assistant box keep working without interruption.</w:t>
      </w:r>
    </w:p>
    <w:p>
      <w:pPr>
        <w:spacing w:before="160" w:after="40"/>
      </w:pPr>
      <w:r>
        <w:rPr>
          <w:b/>
          <w:color w:val="000000"/>
          <w:sz w:val="23"/>
        </w:rPr>
        <w:t>Deployment</w:t>
      </w:r>
    </w:p>
    <w:p>
      <w:pPr>
        <w:spacing w:after="80" w:line="252" w:lineRule="auto"/>
      </w:pPr>
      <w:r>
        <w:rPr>
          <w:color w:val="000000"/>
          <w:sz w:val="21"/>
        </w:rPr>
        <w:t>The application runs as a standard web service hosted on a cloud hosting platform. Configuration values such as the service endpoint, key, and model name are stored as environment variables on the server, not inside the code, so credentials stay outside the source repository.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