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00000"/>
          <w:spacing w:val="60"/>
          <w:sz w:val="18"/>
          <w:szCs w:val="18"/>
        </w:rPr>
        <w:t xml:space="preserve">PHASE 2 DELIVERABLE</w:t>
      </w:r>
    </w:p>
    <w:p>
      <w:pPr>
        <w:spacing w:after="60"/>
      </w:pPr>
      <w:r>
        <w:rPr>
          <w:rFonts w:ascii="Calibri" w:cs="Calibri" w:eastAsia="Calibri" w:hAnsi="Calibri"/>
          <w:b/>
          <w:bCs/>
          <w:color w:val="000000"/>
          <w:sz w:val="44"/>
          <w:szCs w:val="44"/>
        </w:rPr>
        <w:t xml:space="preserve">TES Pyomo Module</w:t>
      </w:r>
    </w:p>
    <w:p>
      <w:pPr>
        <w:spacing w:after="280"/>
      </w:pPr>
      <w:r>
        <w:rPr>
          <w:rFonts w:ascii="Calibri" w:cs="Calibri" w:eastAsia="Calibri" w:hAnsi="Calibri"/>
          <w:i/>
          <w:iCs/>
          <w:color w:val="000000"/>
          <w:sz w:val="24"/>
          <w:szCs w:val="24"/>
        </w:rPr>
        <w:t xml:space="preserve">Documentation and integration notes for pyomo_DTC_CPLEX_TES.py</w:t>
      </w:r>
    </w:p>
    <w:p>
      <w:pPr>
        <w:spacing w:after="60"/>
      </w:pPr>
      <w:r>
        <w:rPr>
          <w:rFonts w:ascii="Calibri" w:cs="Calibri" w:eastAsia="Calibri" w:hAnsi="Calibri"/>
          <w:color w:val="000000"/>
          <w:sz w:val="20"/>
          <w:szCs w:val="20"/>
        </w:rPr>
        <w:t xml:space="preserve">Author:  </w:t>
      </w:r>
      <w:r>
        <w:rPr>
          <w:rFonts w:ascii="Calibri" w:cs="Calibri" w:eastAsia="Calibri" w:hAnsi="Calibri"/>
          <w:b/>
          <w:bCs/>
          <w:color w:val="000000"/>
          <w:sz w:val="20"/>
          <w:szCs w:val="20"/>
        </w:rPr>
        <w:t xml:space="preserve">Sreya Chagarlamudi</w:t>
      </w:r>
    </w:p>
    <w:p>
      <w:pPr>
        <w:spacing w:after="480"/>
      </w:pPr>
      <w:r>
        <w:rPr>
          <w:rFonts w:ascii="Calibri" w:cs="Calibri" w:eastAsia="Calibri" w:hAnsi="Calibri"/>
          <w:color w:val="000000"/>
          <w:sz w:val="20"/>
          <w:szCs w:val="20"/>
        </w:rPr>
        <w:t xml:space="preserve">Phase:   </w:t>
      </w:r>
      <w:r>
        <w:rPr>
          <w:rFonts w:ascii="Calibri" w:cs="Calibri" w:eastAsia="Calibri" w:hAnsi="Calibri"/>
          <w:color w:val="000000"/>
          <w:sz w:val="20"/>
          <w:szCs w:val="20"/>
        </w:rPr>
        <w:t xml:space="preserve">Phase 2 of 4, Pyomo Module Development</w:t>
      </w:r>
    </w:p>
    <w:p>
      <w:pPr>
        <w:pStyle w:val="Heading1"/>
        <w:spacing w:after="200" w:before="360"/>
      </w:pPr>
      <w:r>
        <w:rPr>
          <w:rFonts w:ascii="Calibri" w:cs="Calibri" w:eastAsia="Calibri" w:hAnsi="Calibri"/>
          <w:b/>
          <w:bCs/>
          <w:color w:val="000000"/>
          <w:sz w:val="30"/>
          <w:szCs w:val="30"/>
        </w:rPr>
        <w:t xml:space="preserve">1.  Scope</w:t>
      </w:r>
    </w:p>
    <w:p>
      <w:pPr>
        <w:spacing w:after="180" w:line="300"/>
        <w:jc w:val="both"/>
      </w:pPr>
      <w:r>
        <w:rPr>
          <w:rFonts w:ascii="Calibri" w:cs="Calibri" w:eastAsia="Calibri" w:hAnsi="Calibri"/>
          <w:color w:val="000000"/>
          <w:sz w:val="22"/>
          <w:szCs w:val="22"/>
        </w:rPr>
        <w:t xml:space="preserve">This document describes the TES Pyomo module developed as Phase 2 of my summer project. The module encodes the six governing physical equations identified in Phase 1 as constraints in a mixed integer linear program (abbreviated MILP, an optimization problem in which some variables must take integer values such as zero or one). The MILP is solved hour by hour over a representative operating year to produce the dispatch trajectory that minimizes total annualized system cost while serving the datacenter load in every hour.</w:t>
      </w:r>
    </w:p>
    <w:p>
      <w:pPr>
        <w:spacing w:after="180" w:line="300"/>
        <w:jc w:val="both"/>
      </w:pPr>
      <w:r>
        <w:rPr>
          <w:rFonts w:ascii="Calibri" w:cs="Calibri" w:eastAsia="Calibri" w:hAnsi="Calibri"/>
          <w:color w:val="000000"/>
          <w:sz w:val="22"/>
          <w:szCs w:val="22"/>
        </w:rPr>
        <w:t xml:space="preserve">The module is implemented in Pyomo, an open source Python library for formulating algebraic optimization problems. Pyomo describes the objective function and constraints in declarative form, then hands the assembled problem to an external solver. The default solver in this implementation is IBM's CPLEX (a commercial mixed integer programming solver that uses branch and bound algorithms to handle the binary variables); Gurobi is supported as an alternative. The module is structured so that switching solvers requires changing a single configuration flag.</w:t>
      </w:r>
    </w:p>
    <w:p>
      <w:pPr>
        <w:spacing w:after="180" w:line="300"/>
        <w:jc w:val="both"/>
      </w:pPr>
      <w:r>
        <w:rPr>
          <w:rFonts w:ascii="Calibri" w:cs="Calibri" w:eastAsia="Calibri" w:hAnsi="Calibri"/>
          <w:color w:val="000000"/>
          <w:sz w:val="22"/>
          <w:szCs w:val="22"/>
        </w:rPr>
        <w:t xml:space="preserve">The module is intended to plug into the team's existing PtXv3 framework (Greg's capacity expansion and dispatch model, originally developed for green ammonia production and extended in Phase 2 of this project to support TES). The naming conventions, scenario sheet structure, and rolling window logic all match the established PtX patterns so any reviewer familiar with the ammonia model can read the TES module without learning a new framework.</w:t>
      </w:r>
    </w:p>
    <w:p>
      <w:pPr>
        <w:pStyle w:val="Heading1"/>
        <w:spacing w:after="200" w:before="360"/>
      </w:pPr>
      <w:r>
        <w:rPr>
          <w:rFonts w:ascii="Calibri" w:cs="Calibri" w:eastAsia="Calibri" w:hAnsi="Calibri"/>
          <w:b/>
          <w:bCs/>
          <w:color w:val="000000"/>
          <w:sz w:val="30"/>
          <w:szCs w:val="30"/>
        </w:rPr>
        <w:t xml:space="preserve">2.  Summary</w:t>
      </w:r>
    </w:p>
    <w:p>
      <w:pPr>
        <w:spacing w:after="180" w:line="300"/>
        <w:jc w:val="both"/>
      </w:pPr>
      <w:r>
        <w:rPr>
          <w:rFonts w:ascii="Calibri" w:cs="Calibri" w:eastAsia="Calibri" w:hAnsi="Calibri"/>
          <w:color w:val="000000"/>
          <w:sz w:val="22"/>
          <w:szCs w:val="22"/>
        </w:rPr>
        <w:t xml:space="preserve">The module adds a TES storage block and a steam turbine to the dispatch model. The TES storage block tracks the state of charge of the thermal storage core hour by hour, accounting for charging from surplus renewable electricity, passive thermal losses, and discharging to the steam generator. The steam turbine block converts the discharge stream into electricity at forty percent thermal to electrical efficiency, subject to the binary commitment constraint that the turbine is either off or operating between forty percent and one hundred percent of rated output.</w:t>
      </w:r>
    </w:p>
    <w:p>
      <w:pPr>
        <w:spacing w:after="180" w:line="300"/>
        <w:jc w:val="both"/>
      </w:pPr>
      <w:r>
        <w:rPr>
          <w:rFonts w:ascii="Calibri" w:cs="Calibri" w:eastAsia="Calibri" w:hAnsi="Calibri"/>
          <w:color w:val="000000"/>
          <w:sz w:val="22"/>
          <w:szCs w:val="22"/>
        </w:rPr>
        <w:t xml:space="preserve">The implementation follows the pattern of Greg's NH3 module (the ammonia equivalent for power to ammonia analysis) closely, which means any team member familiar with NH3 can read the TES code without onboarding. New TES specific parameters are added to the TES tab of the scenario workbook (gjt_working.xlsx) with names that mirror the NH3 conventions where applicable. The two new parameters I had to introduce (tes_st_eff and tes_st_min, the steam turbine efficiency and minimum stable load) do not have NH3 equivalents because the ammonia model does not have a turbine; these are new variables that should be added to the TES tab before the next full production run.</w:t>
      </w:r>
    </w:p>
    <w:p>
      <w:pPr>
        <w:spacing w:after="180" w:line="300"/>
        <w:jc w:val="both"/>
      </w:pPr>
      <w:r>
        <w:rPr>
          <w:rFonts w:ascii="Calibri" w:cs="Calibri" w:eastAsia="Calibri" w:hAnsi="Calibri"/>
          <w:color w:val="000000"/>
          <w:sz w:val="22"/>
          <w:szCs w:val="22"/>
        </w:rPr>
        <w:t xml:space="preserve">The rolling window dispatch logic from the original DTC_CPLEX dispatch model is preserved. The model solves dispatch over overlapping windows of typically 168 to 336 hours, advancing in 24 hour steps to keep solve time tractable on a desktop machine. The TES state of charge carries forward across window boundaries through an explicit initial condition parameter.</w:t>
      </w:r>
    </w:p>
    <w:p>
      <w:pPr>
        <w:spacing w:after="180" w:line="300"/>
        <w:jc w:val="both"/>
      </w:pPr>
      <w:r>
        <w:rPr>
          <w:rFonts w:ascii="Calibri" w:cs="Calibri" w:eastAsia="Calibri" w:hAnsi="Calibri"/>
          <w:color w:val="000000"/>
          <w:sz w:val="22"/>
          <w:szCs w:val="22"/>
        </w:rPr>
        <w:t xml:space="preserve">Smoke tests confirm that the energy balance closes to within solver tolerance, that the state of charge trajectory matches an analytical solution for a synthetic three day input, and that the binary turbine commitment behaves as expected under partial discharge scenarios. The module is ready for full annual Phase 3 scenario runs.</w:t>
      </w:r>
    </w:p>
    <w:p>
      <w:pPr>
        <w:pStyle w:val="Heading1"/>
        <w:spacing w:after="200" w:before="360"/>
      </w:pPr>
      <w:r>
        <w:rPr>
          <w:rFonts w:ascii="Calibri" w:cs="Calibri" w:eastAsia="Calibri" w:hAnsi="Calibri"/>
          <w:b/>
          <w:bCs/>
          <w:color w:val="000000"/>
          <w:sz w:val="30"/>
          <w:szCs w:val="30"/>
        </w:rPr>
        <w:t xml:space="preserve">3.  What the module adds to the dispatch model</w:t>
      </w:r>
    </w:p>
    <w:p>
      <w:pPr>
        <w:spacing w:after="180" w:line="300"/>
        <w:jc w:val="both"/>
      </w:pPr>
      <w:r>
        <w:rPr>
          <w:rFonts w:ascii="Calibri" w:cs="Calibri" w:eastAsia="Calibri" w:hAnsi="Calibri"/>
          <w:color w:val="000000"/>
          <w:sz w:val="22"/>
          <w:szCs w:val="22"/>
        </w:rPr>
        <w:t xml:space="preserve">The original DTC_CPLEX dispatch model that the team uses to evaluate carbon free datacenter scenarios contains three storage technology blocks (a battery energy storage system, abbreviated BESS, for short duration; a generic long duration energy storage block, abbreviated LDES, for medium duration; and the natural gas peaker plant as a backup). The TES module adds a fourth technology block to this framework.</w:t>
      </w:r>
    </w:p>
    <w:p>
      <w:pPr>
        <w:spacing w:after="180" w:line="300"/>
        <w:jc w:val="both"/>
      </w:pPr>
      <w:r>
        <w:rPr>
          <w:rFonts w:ascii="Calibri" w:cs="Calibri" w:eastAsia="Calibri" w:hAnsi="Calibri"/>
          <w:color w:val="000000"/>
          <w:sz w:val="22"/>
          <w:szCs w:val="22"/>
        </w:rPr>
        <w:t xml:space="preserve">The TES block consists of four state variables and two efficiency parameters. The state variables track the energy flowing through each part of the technology in each hour: TCt for charging into the storage core, TDt for thermal discharge from the storage core, TXt for the running state of charge, and lTvt for the heat loss during charging. The efficiency parameters are the lumped round trip efficiency (tes_rte, set to ninety percent on the existing TES tab) and the steam turbine thermal to electrical efficiency (tes_st_eff, proposed value forty percent, to be added to the TES tab).</w:t>
      </w:r>
    </w:p>
    <w:p>
      <w:pPr>
        <w:spacing w:after="180" w:line="300"/>
        <w:jc w:val="both"/>
      </w:pPr>
      <w:r>
        <w:rPr>
          <w:rFonts w:ascii="Calibri" w:cs="Calibri" w:eastAsia="Calibri" w:hAnsi="Calibri"/>
          <w:color w:val="000000"/>
          <w:sz w:val="22"/>
          <w:szCs w:val="22"/>
        </w:rPr>
        <w:t xml:space="preserve">The steam turbine is modeled as a separate block with three additional variables. Gtest is the electrical output from the steam turbine in each hour. Kstt is the binary commitment variable that encodes whether the turbine is on (one) or off (zero) in each hour; this is the source of the MILP nature of the problem. The minimum load constraint enforces that when Kstt equals one, the turbine output Gtest must be between forty percent and one hundred percent of rated capacity.</w:t>
      </w:r>
    </w:p>
    <w:p>
      <w:pPr>
        <w:spacing w:after="180" w:line="300"/>
        <w:jc w:val="both"/>
      </w:pPr>
      <w:r>
        <w:rPr>
          <w:rFonts w:ascii="Calibri" w:cs="Calibri" w:eastAsia="Calibri" w:hAnsi="Calibri"/>
          <w:color w:val="000000"/>
          <w:sz w:val="22"/>
          <w:szCs w:val="22"/>
        </w:rPr>
        <w:t xml:space="preserve">On the cost side, the module adds capital cost terms for the storage core and the turbine separately, reflecting the power energy decoupling structure documented in the Phase 1 Component Characterization document. The energy related cost scales with the rated storage capacity (kilowatt hours of thermal storage), and the power related cost scales with the rated electrical output of the turbine. Operating expenditure is treated as a single percentage of total capital cost, currently four percent per year per Greg's scenario convention.</w:t>
      </w:r>
    </w:p>
    <w:p>
      <w:pPr>
        <w:pStyle w:val="Heading1"/>
        <w:spacing w:after="200" w:before="360"/>
      </w:pPr>
      <w:r>
        <w:rPr>
          <w:rFonts w:ascii="Calibri" w:cs="Calibri" w:eastAsia="Calibri" w:hAnsi="Calibri"/>
          <w:b/>
          <w:bCs/>
          <w:color w:val="000000"/>
          <w:sz w:val="30"/>
          <w:szCs w:val="30"/>
        </w:rPr>
        <w:t xml:space="preserve">4.  Mapping Phase 1 physics to Pyomo constraints</w:t>
      </w:r>
    </w:p>
    <w:p>
      <w:pPr>
        <w:spacing w:after="180" w:line="300"/>
        <w:jc w:val="both"/>
      </w:pPr>
      <w:r>
        <w:rPr>
          <w:rFonts w:ascii="Calibri" w:cs="Calibri" w:eastAsia="Calibri" w:hAnsi="Calibri"/>
          <w:color w:val="000000"/>
          <w:sz w:val="22"/>
          <w:szCs w:val="22"/>
        </w:rPr>
        <w:t xml:space="preserve">This section is the most important part of the documentation. Each of the six governing equations from the Phase 1 multiphysics document corresponds to one or more constraints in the Pyomo model. The mapping is direct and explicit; anyone auditing the model's physics can verify by inspecting these constraints in the source code.</w:t>
      </w:r>
    </w:p>
    <w:p>
      <w:pPr>
        <w:pStyle w:val="Heading2"/>
        <w:spacing w:after="140" w:before="260"/>
      </w:pPr>
      <w:r>
        <w:rPr>
          <w:rFonts w:ascii="Calibri" w:cs="Calibri" w:eastAsia="Calibri" w:hAnsi="Calibri"/>
          <w:b/>
          <w:bCs/>
          <w:color w:val="000000"/>
          <w:sz w:val="24"/>
          <w:szCs w:val="24"/>
        </w:rPr>
        <w:t xml:space="preserve">4.1  Electrical to thermal conversion at the heaters</w:t>
      </w:r>
    </w:p>
    <w:p>
      <w:pPr>
        <w:spacing w:after="180" w:line="300"/>
        <w:jc w:val="both"/>
      </w:pPr>
      <w:r>
        <w:rPr>
          <w:rFonts w:ascii="Calibri" w:cs="Calibri" w:eastAsia="Calibri" w:hAnsi="Calibri"/>
          <w:color w:val="000000"/>
          <w:sz w:val="22"/>
          <w:szCs w:val="22"/>
        </w:rPr>
        <w:t xml:space="preserve">Phase 1 equation:  Q_in = P_elec_in · η_heat.  The Pyomo model expresses this implicitly through the TES charging variable TCt and the loss term lTvt. The constraint c_tes_loss encodes the charging inefficiency:</w:t>
      </w:r>
    </w:p>
    <w:p>
      <w:pPr>
        <w:spacing w:after="120" w:line="260"/>
        <w:ind w:left="360"/>
      </w:pPr>
      <w:r>
        <w:rPr>
          <w:rFonts w:ascii="Consolas" w:cs="Consolas" w:eastAsia="Consolas" w:hAnsi="Consolas"/>
          <w:color w:val="000000"/>
          <w:sz w:val="20"/>
          <w:szCs w:val="20"/>
        </w:rPr>
        <w:t xml:space="preserve">lTvt[t] = TCt[t] * (1 - Teff)</w:t>
      </w:r>
    </w:p>
    <w:p>
      <w:pPr>
        <w:spacing w:after="180" w:line="300"/>
        <w:jc w:val="both"/>
      </w:pPr>
      <w:r>
        <w:rPr>
          <w:rFonts w:ascii="Calibri" w:cs="Calibri" w:eastAsia="Calibri" w:hAnsi="Calibri"/>
          <w:color w:val="000000"/>
          <w:sz w:val="22"/>
          <w:szCs w:val="22"/>
        </w:rPr>
        <w:t xml:space="preserve">This says the heat lost during charging equals the charging power multiplied by one minus the round trip efficiency. The remaining fraction Teff (ninety percent in the current scenario) of TCt is the heat that actually enters the storage core. The 99 percent heater efficiency from Phase 1 is folded into Teff alongside the storage cycle efficiency, consistent with the convention Greg uses on the existing TES tab.</w:t>
      </w:r>
    </w:p>
    <w:p>
      <w:pPr>
        <w:pStyle w:val="Heading2"/>
        <w:spacing w:after="140" w:before="260"/>
      </w:pPr>
      <w:r>
        <w:rPr>
          <w:rFonts w:ascii="Calibri" w:cs="Calibri" w:eastAsia="Calibri" w:hAnsi="Calibri"/>
          <w:b/>
          <w:bCs/>
          <w:color w:val="000000"/>
          <w:sz w:val="24"/>
          <w:szCs w:val="24"/>
        </w:rPr>
        <w:t xml:space="preserve">4.2  State of charge update</w:t>
      </w:r>
    </w:p>
    <w:p>
      <w:pPr>
        <w:spacing w:after="180" w:line="300"/>
        <w:jc w:val="both"/>
      </w:pPr>
      <w:r>
        <w:rPr>
          <w:rFonts w:ascii="Calibri" w:cs="Calibri" w:eastAsia="Calibri" w:hAnsi="Calibri"/>
          <w:color w:val="000000"/>
          <w:sz w:val="22"/>
          <w:szCs w:val="22"/>
        </w:rPr>
        <w:t xml:space="preserve">Phase 1 equation:  dE/dt = Q_in · η_TES - Q_out - Q_loss.  The Pyomo constraint c_tes_soc expresses the discrete time equivalent:</w:t>
      </w:r>
    </w:p>
    <w:p>
      <w:pPr>
        <w:spacing w:after="120" w:line="260"/>
        <w:ind w:left="360"/>
      </w:pPr>
      <w:r>
        <w:rPr>
          <w:rFonts w:ascii="Consolas" w:cs="Consolas" w:eastAsia="Consolas" w:hAnsi="Consolas"/>
          <w:color w:val="000000"/>
          <w:sz w:val="20"/>
          <w:szCs w:val="20"/>
        </w:rPr>
        <w:t xml:space="preserve">TXt[t] = TXt[t-1] + TCt[t] - lTvt[t] - TDt[t]</w:t>
      </w:r>
    </w:p>
    <w:p>
      <w:pPr>
        <w:spacing w:after="180" w:line="300"/>
        <w:jc w:val="both"/>
      </w:pPr>
      <w:r>
        <w:rPr>
          <w:rFonts w:ascii="Calibri" w:cs="Calibri" w:eastAsia="Calibri" w:hAnsi="Calibri"/>
          <w:color w:val="000000"/>
          <w:sz w:val="22"/>
          <w:szCs w:val="22"/>
        </w:rPr>
        <w:t xml:space="preserve">This says the state of charge at hour t equals the state of charge at hour t minus one, plus charging input, minus losses, minus discharge output. The constraint runs across every hour in the optimization window. At the first hour of each window, TXt is initialized to the value carried forward from the previous window via the parameter TXi.</w:t>
      </w:r>
    </w:p>
    <w:p>
      <w:pPr>
        <w:spacing w:after="180" w:line="300"/>
        <w:jc w:val="both"/>
      </w:pPr>
      <w:r>
        <w:rPr>
          <w:rFonts w:ascii="Calibri" w:cs="Calibri" w:eastAsia="Calibri" w:hAnsi="Calibri"/>
          <w:color w:val="000000"/>
          <w:sz w:val="22"/>
          <w:szCs w:val="22"/>
        </w:rPr>
        <w:t xml:space="preserve">Together with the loss term lTvt = TCt * (1 - Teff) defined above, this implements the conservation of energy across the TES boundary. The optimizer enforces this constraint in every hour, which means the dispatch solution is guaranteed to be energetically consistent.</w:t>
      </w:r>
    </w:p>
    <w:p>
      <w:pPr>
        <w:pStyle w:val="Heading2"/>
        <w:spacing w:after="140" w:before="260"/>
      </w:pPr>
      <w:r>
        <w:rPr>
          <w:rFonts w:ascii="Calibri" w:cs="Calibri" w:eastAsia="Calibri" w:hAnsi="Calibri"/>
          <w:b/>
          <w:bCs/>
          <w:color w:val="000000"/>
          <w:sz w:val="24"/>
          <w:szCs w:val="24"/>
        </w:rPr>
        <w:t xml:space="preserve">4.3  Heat to steam transfer at the embedded heat exchanger</w:t>
      </w:r>
    </w:p>
    <w:p>
      <w:pPr>
        <w:spacing w:after="180" w:line="300"/>
        <w:jc w:val="both"/>
      </w:pPr>
      <w:r>
        <w:rPr>
          <w:rFonts w:ascii="Calibri" w:cs="Calibri" w:eastAsia="Calibri" w:hAnsi="Calibri"/>
          <w:color w:val="000000"/>
          <w:sz w:val="22"/>
          <w:szCs w:val="22"/>
        </w:rPr>
        <w:t xml:space="preserve">Phase 1 equation:  Q_out = m_dot · cp · ΔT.  The Pyomo model does not resolve the mass flow rate and specific heat capacity separately; instead it uses the lumped heat exchanger output rate TDt directly. The constraint c_tes_dmax enforces the maximum discharge rate:</w:t>
      </w:r>
    </w:p>
    <w:p>
      <w:pPr>
        <w:spacing w:after="120" w:line="260"/>
        <w:ind w:left="360"/>
      </w:pPr>
      <w:r>
        <w:rPr>
          <w:rFonts w:ascii="Consolas" w:cs="Consolas" w:eastAsia="Consolas" w:hAnsi="Consolas"/>
          <w:color w:val="000000"/>
          <w:sz w:val="20"/>
          <w:szCs w:val="20"/>
        </w:rPr>
        <w:t xml:space="preserve">TDt[t] &lt;= TDmax</w:t>
      </w:r>
    </w:p>
    <w:p>
      <w:pPr>
        <w:spacing w:after="180" w:line="300"/>
        <w:jc w:val="both"/>
      </w:pPr>
      <w:r>
        <w:rPr>
          <w:rFonts w:ascii="Calibri" w:cs="Calibri" w:eastAsia="Calibri" w:hAnsi="Calibri"/>
          <w:color w:val="000000"/>
          <w:sz w:val="22"/>
          <w:szCs w:val="22"/>
        </w:rPr>
        <w:t xml:space="preserve">Where TDmax is the rated thermal discharge power, set by the heat exchanger surface area and the convective heat transfer coefficient on the water side. The convective and conductive details are abstracted away because the optimizer is making hour scale decisions and the sub hourly transient behavior is below the resolution of the model. If a future engineering study needs the detailed heat transfer mechanics, a separate finite element thermal model would be appropriate.</w:t>
      </w:r>
    </w:p>
    <w:p>
      <w:pPr>
        <w:pStyle w:val="Heading2"/>
        <w:spacing w:after="140" w:before="260"/>
      </w:pPr>
      <w:r>
        <w:rPr>
          <w:rFonts w:ascii="Calibri" w:cs="Calibri" w:eastAsia="Calibri" w:hAnsi="Calibri"/>
          <w:b/>
          <w:bCs/>
          <w:color w:val="000000"/>
          <w:sz w:val="24"/>
          <w:szCs w:val="24"/>
        </w:rPr>
        <w:t xml:space="preserve">4.4  Steam to electricity conversion at the turbine</w:t>
      </w:r>
    </w:p>
    <w:p>
      <w:pPr>
        <w:spacing w:after="180" w:line="300"/>
        <w:jc w:val="both"/>
      </w:pPr>
      <w:r>
        <w:rPr>
          <w:rFonts w:ascii="Calibri" w:cs="Calibri" w:eastAsia="Calibri" w:hAnsi="Calibri"/>
          <w:color w:val="000000"/>
          <w:sz w:val="22"/>
          <w:szCs w:val="22"/>
        </w:rPr>
        <w:t xml:space="preserve">Phase 1 equation:  P_elec_TES = η_st · Q_out.  The Pyomo constraint c_st_eff implements this directly:</w:t>
      </w:r>
    </w:p>
    <w:p>
      <w:pPr>
        <w:spacing w:after="120" w:line="260"/>
        <w:ind w:left="360"/>
      </w:pPr>
      <w:r>
        <w:rPr>
          <w:rFonts w:ascii="Consolas" w:cs="Consolas" w:eastAsia="Consolas" w:hAnsi="Consolas"/>
          <w:color w:val="000000"/>
          <w:sz w:val="20"/>
          <w:szCs w:val="20"/>
        </w:rPr>
        <w:t xml:space="preserve">Gtest[t] = TDt[t] * GTeff</w:t>
      </w:r>
    </w:p>
    <w:p>
      <w:pPr>
        <w:spacing w:after="180" w:line="300"/>
        <w:jc w:val="both"/>
      </w:pPr>
      <w:r>
        <w:rPr>
          <w:rFonts w:ascii="Calibri" w:cs="Calibri" w:eastAsia="Calibri" w:hAnsi="Calibri"/>
          <w:color w:val="000000"/>
          <w:sz w:val="22"/>
          <w:szCs w:val="22"/>
        </w:rPr>
        <w:t xml:space="preserve">Where GTeff is the steam turbine efficiency (forty percent per the proposed default). This constraint enforces that the electrical output of the steam turbine equals the thermal discharge times the turbine efficiency. The remaining sixty percent of the thermal energy is rejected as low grade waste heat at the condenser.</w:t>
      </w:r>
    </w:p>
    <w:p>
      <w:pPr>
        <w:pStyle w:val="Heading2"/>
        <w:spacing w:after="140" w:before="260"/>
      </w:pPr>
      <w:r>
        <w:rPr>
          <w:rFonts w:ascii="Calibri" w:cs="Calibri" w:eastAsia="Calibri" w:hAnsi="Calibri"/>
          <w:b/>
          <w:bCs/>
          <w:color w:val="000000"/>
          <w:sz w:val="24"/>
          <w:szCs w:val="24"/>
        </w:rPr>
        <w:t xml:space="preserve">4.5  Turbine minimum stable load (the binary commitment)</w:t>
      </w:r>
    </w:p>
    <w:p>
      <w:pPr>
        <w:spacing w:after="180" w:line="300"/>
        <w:jc w:val="both"/>
      </w:pPr>
      <w:r>
        <w:rPr>
          <w:rFonts w:ascii="Calibri" w:cs="Calibri" w:eastAsia="Calibri" w:hAnsi="Calibri"/>
          <w:color w:val="000000"/>
          <w:sz w:val="22"/>
          <w:szCs w:val="22"/>
        </w:rPr>
        <w:t xml:space="preserve">This constraint is what makes the optimization problem mixed integer rather than purely linear, and is the source of most of the solver complexity. The Phase 1 physics says the turbine cannot run below approximately forty percent of rated output. Below this threshold the turbine must be off entirely. Pyomo expresses this with two constraints and a binary variable:</w:t>
      </w:r>
    </w:p>
    <w:p>
      <w:pPr>
        <w:spacing w:after="120" w:line="260"/>
        <w:ind w:left="360"/>
      </w:pPr>
      <w:r>
        <w:rPr>
          <w:rFonts w:ascii="Consolas" w:cs="Consolas" w:eastAsia="Consolas" w:hAnsi="Consolas"/>
          <w:color w:val="000000"/>
          <w:sz w:val="20"/>
          <w:szCs w:val="20"/>
        </w:rPr>
        <w:t xml:space="preserve">Gtest[t] &lt;= T3max * Kstt[t]</w:t>
      </w:r>
    </w:p>
    <w:p>
      <w:pPr>
        <w:spacing w:after="120" w:line="260"/>
        <w:ind w:left="360"/>
      </w:pPr>
      <w:r>
        <w:rPr>
          <w:rFonts w:ascii="Consolas" w:cs="Consolas" w:eastAsia="Consolas" w:hAnsi="Consolas"/>
          <w:color w:val="000000"/>
          <w:sz w:val="20"/>
          <w:szCs w:val="20"/>
        </w:rPr>
        <w:t xml:space="preserve">Gtest[t] &gt;= T3min * Kstt[t]</w:t>
      </w:r>
    </w:p>
    <w:p>
      <w:pPr>
        <w:spacing w:after="180" w:line="300"/>
        <w:jc w:val="both"/>
      </w:pPr>
      <w:r>
        <w:rPr>
          <w:rFonts w:ascii="Calibri" w:cs="Calibri" w:eastAsia="Calibri" w:hAnsi="Calibri"/>
          <w:color w:val="000000"/>
          <w:sz w:val="22"/>
          <w:szCs w:val="22"/>
        </w:rPr>
        <w:t xml:space="preserve">Where Kstt is a binary variable taking value zero (turbine off) or one (turbine on). When Kstt is zero, both constraints force Gtest to zero. When Kstt is one, Gtest is bounded between T3min (forty percent of rated) and T3max (one hundred percent of rated). The optimizer chooses Kstt in each hour as part of the solution.</w:t>
      </w:r>
    </w:p>
    <w:p>
      <w:pPr>
        <w:spacing w:after="180" w:line="300"/>
        <w:jc w:val="both"/>
      </w:pPr>
      <w:r>
        <w:rPr>
          <w:rFonts w:ascii="Calibri" w:cs="Calibri" w:eastAsia="Calibri" w:hAnsi="Calibri"/>
          <w:color w:val="000000"/>
          <w:sz w:val="22"/>
          <w:szCs w:val="22"/>
        </w:rPr>
        <w:t xml:space="preserve">The presence of binary variables is what converts the problem from a linear program (which can be solved in polynomial time by the simplex method) into a mixed integer linear program (which requires branch and bound and scales much worse with problem size). This is the primary reason the model uses representative weeks for full year analysis rather than solving an 8,760 hour problem in one shot, and is also why the solve tolerance is set looser than a typical LP.</w:t>
      </w:r>
    </w:p>
    <w:p>
      <w:pPr>
        <w:pStyle w:val="Heading2"/>
        <w:spacing w:after="140" w:before="260"/>
      </w:pPr>
      <w:r>
        <w:rPr>
          <w:rFonts w:ascii="Calibri" w:cs="Calibri" w:eastAsia="Calibri" w:hAnsi="Calibri"/>
          <w:b/>
          <w:bCs/>
          <w:color w:val="000000"/>
          <w:sz w:val="24"/>
          <w:szCs w:val="24"/>
        </w:rPr>
        <w:t xml:space="preserve">4.6  Mass balance and rate limits</w:t>
      </w:r>
    </w:p>
    <w:p>
      <w:pPr>
        <w:spacing w:after="180" w:line="300"/>
        <w:jc w:val="both"/>
      </w:pPr>
      <w:r>
        <w:rPr>
          <w:rFonts w:ascii="Calibri" w:cs="Calibri" w:eastAsia="Calibri" w:hAnsi="Calibri"/>
          <w:color w:val="000000"/>
          <w:sz w:val="22"/>
          <w:szCs w:val="22"/>
        </w:rPr>
        <w:t xml:space="preserve">Phase 1 equation:  m_dot_in = m_dot_out, |Q_in| ≤ tesD · CDratio, |Q_out| ≤ tesD.  The mass balance is automatic in the closed steam loop and does not appear explicitly in the Pyomo formulation. The rate limits become two constraints:</w:t>
      </w:r>
    </w:p>
    <w:p>
      <w:pPr>
        <w:spacing w:after="120" w:line="260"/>
        <w:ind w:left="360"/>
      </w:pPr>
      <w:r>
        <w:rPr>
          <w:rFonts w:ascii="Consolas" w:cs="Consolas" w:eastAsia="Consolas" w:hAnsi="Consolas"/>
          <w:color w:val="000000"/>
          <w:sz w:val="20"/>
          <w:szCs w:val="20"/>
        </w:rPr>
        <w:t xml:space="preserve">TCt[t] &lt;= TCmax</w:t>
      </w:r>
    </w:p>
    <w:p>
      <w:pPr>
        <w:spacing w:after="120" w:line="260"/>
        <w:ind w:left="360"/>
      </w:pPr>
      <w:r>
        <w:rPr>
          <w:rFonts w:ascii="Consolas" w:cs="Consolas" w:eastAsia="Consolas" w:hAnsi="Consolas"/>
          <w:color w:val="000000"/>
          <w:sz w:val="20"/>
          <w:szCs w:val="20"/>
        </w:rPr>
        <w:t xml:space="preserve">TDt[t] &lt;= TDmax</w:t>
      </w:r>
    </w:p>
    <w:p>
      <w:pPr>
        <w:spacing w:after="180" w:line="300"/>
        <w:jc w:val="both"/>
      </w:pPr>
      <w:r>
        <w:rPr>
          <w:rFonts w:ascii="Calibri" w:cs="Calibri" w:eastAsia="Calibri" w:hAnsi="Calibri"/>
          <w:color w:val="000000"/>
          <w:sz w:val="22"/>
          <w:szCs w:val="22"/>
        </w:rPr>
        <w:t xml:space="preserve">Where TCmax is set to TDmax multiplied by the charge to discharge ratio (three to one in the current scenario per Rondo's design convention), and TDmax is the rated thermal discharge power. Combined with the maximum state of charge constraint TXt[t] &lt;= TXmax, these three rate limits keep the optimizer from selecting physically infeasible operating points.</w:t>
      </w:r>
    </w:p>
    <w:p>
      <w:pPr>
        <w:pStyle w:val="Heading2"/>
        <w:spacing w:after="140" w:before="260"/>
      </w:pPr>
      <w:r>
        <w:rPr>
          <w:rFonts w:ascii="Calibri" w:cs="Calibri" w:eastAsia="Calibri" w:hAnsi="Calibri"/>
          <w:b/>
          <w:bCs/>
          <w:color w:val="000000"/>
          <w:sz w:val="24"/>
          <w:szCs w:val="24"/>
        </w:rPr>
        <w:t xml:space="preserve">4.7  Electricity balance at the bus</w:t>
      </w:r>
    </w:p>
    <w:p>
      <w:pPr>
        <w:spacing w:after="180" w:line="300"/>
        <w:jc w:val="both"/>
      </w:pPr>
      <w:r>
        <w:rPr>
          <w:rFonts w:ascii="Calibri" w:cs="Calibri" w:eastAsia="Calibri" w:hAnsi="Calibri"/>
          <w:color w:val="000000"/>
          <w:sz w:val="22"/>
          <w:szCs w:val="22"/>
        </w:rPr>
        <w:t xml:space="preserve">This is not strictly a Phase 1 physics equation, but it is the constraint that connects the TES block to the rest of the dispatch model. The constraint c1 (electricity balance) sums every source of electricity into the bus and every sink, requiring them to be equal at every hour:</w:t>
      </w:r>
    </w:p>
    <w:p>
      <w:pPr>
        <w:spacing w:after="120" w:line="260"/>
        <w:ind w:left="360"/>
      </w:pPr>
      <w:r>
        <w:rPr>
          <w:rFonts w:ascii="Consolas" w:cs="Consolas" w:eastAsia="Consolas" w:hAnsi="Consolas"/>
          <w:color w:val="000000"/>
          <w:sz w:val="20"/>
          <w:szCs w:val="20"/>
        </w:rPr>
        <w:t xml:space="preserve">CleanFirm + Zt + Wt + St + BDt + LdDt + Gtest + G1t + G2t = Lt + BCt + LdCt + TCt + Scurtt + Wcurtt</w:t>
      </w:r>
    </w:p>
    <w:p>
      <w:pPr>
        <w:spacing w:after="180" w:line="300"/>
        <w:jc w:val="both"/>
      </w:pPr>
      <w:r>
        <w:rPr>
          <w:rFonts w:ascii="Calibri" w:cs="Calibri" w:eastAsia="Calibri" w:hAnsi="Calibri"/>
          <w:color w:val="000000"/>
          <w:sz w:val="22"/>
          <w:szCs w:val="22"/>
        </w:rPr>
        <w:t xml:space="preserve">On the supply side: clean firm capacity, imports, wind, solar, BESS discharge, LDES discharge, TES turbine output (Gtest, the variable populated by the steam turbine constraint above), and natural gas generation. On the demand side: datacenter load, BESS charging, LDES charging, TES charging (TCt), and solar and wind curtailment. The TES module's contribution to this balance is two terms: Gtest as a supply, and TCt as a demand.</w:t>
      </w:r>
    </w:p>
    <w:p>
      <w:pPr>
        <w:pStyle w:val="Heading1"/>
        <w:spacing w:after="200" w:before="360"/>
      </w:pPr>
      <w:r>
        <w:rPr>
          <w:rFonts w:ascii="Calibri" w:cs="Calibri" w:eastAsia="Calibri" w:hAnsi="Calibri"/>
          <w:b/>
          <w:bCs/>
          <w:color w:val="000000"/>
          <w:sz w:val="30"/>
          <w:szCs w:val="30"/>
        </w:rPr>
        <w:t xml:space="preserve">5.  The rolling window dispatch logic</w:t>
      </w:r>
    </w:p>
    <w:p>
      <w:pPr>
        <w:spacing w:after="180" w:line="300"/>
        <w:jc w:val="both"/>
      </w:pPr>
      <w:r>
        <w:rPr>
          <w:rFonts w:ascii="Calibri" w:cs="Calibri" w:eastAsia="Calibri" w:hAnsi="Calibri"/>
          <w:color w:val="000000"/>
          <w:sz w:val="22"/>
          <w:szCs w:val="22"/>
        </w:rPr>
        <w:t xml:space="preserve">Solving the full 8,760 hour dispatch problem in a single shot is computationally expensive even for a linear program, and becomes intractable when binary commitment variables are added. The team's existing solution is rolling window dispatch, in which the model solves overlapping windows of 168 to 336 hours and advances in steps of 24 hours. At each window boundary, the state variables (state of charge, load level) are carried forward from the previous window's solution into the next window as initial conditions.</w:t>
      </w:r>
    </w:p>
    <w:p>
      <w:pPr>
        <w:spacing w:after="180" w:line="300"/>
        <w:jc w:val="both"/>
      </w:pPr>
      <w:r>
        <w:rPr>
          <w:rFonts w:ascii="Calibri" w:cs="Calibri" w:eastAsia="Calibri" w:hAnsi="Calibri"/>
          <w:color w:val="000000"/>
          <w:sz w:val="22"/>
          <w:szCs w:val="22"/>
        </w:rPr>
        <w:t xml:space="preserve">The roll_cfe function in pyomo_DTC_CPLEX_TES.py implements this logic. It iterates through the year in 24 hour steps, calls py_dtc_cfe (the underlying model builder) at each step to solve the next window, and accumulates the results into a single time series. The implementation matches the established PtX pattern exactly, with the TES state of charge added to the four state variables that are carried across boundaries (battery SOC, LDES SOC, load level, and now TES SOC).</w:t>
      </w:r>
    </w:p>
    <w:p>
      <w:pPr>
        <w:spacing w:after="180" w:line="300"/>
        <w:jc w:val="both"/>
      </w:pPr>
      <w:r>
        <w:rPr>
          <w:rFonts w:ascii="Calibri" w:cs="Calibri" w:eastAsia="Calibri" w:hAnsi="Calibri"/>
          <w:color w:val="000000"/>
          <w:sz w:val="22"/>
          <w:szCs w:val="22"/>
        </w:rPr>
        <w:t xml:space="preserve">The window size and step size are scenario parameters. The default values of 336 hour windows with 24 hour steps were inherited from Greg's existing setup and work well for both the ammonia and TES models. Shorter windows reduce solve time per window at the cost of less foresight into future renewable conditions; longer windows give the optimizer more foresight but become harder to solve. The default values are a reasonable balance for the problem sizes I am working with.</w:t>
      </w:r>
    </w:p>
    <w:p>
      <w:pPr>
        <w:pStyle w:val="Heading1"/>
        <w:spacing w:after="200" w:before="360"/>
      </w:pPr>
      <w:r>
        <w:rPr>
          <w:rFonts w:ascii="Calibri" w:cs="Calibri" w:eastAsia="Calibri" w:hAnsi="Calibri"/>
          <w:b/>
          <w:bCs/>
          <w:color w:val="000000"/>
          <w:sz w:val="30"/>
          <w:szCs w:val="30"/>
        </w:rPr>
        <w:t xml:space="preserve">6.  Integration with PtXv3</w:t>
      </w:r>
    </w:p>
    <w:p>
      <w:pPr>
        <w:spacing w:after="180" w:line="300"/>
        <w:jc w:val="both"/>
      </w:pPr>
      <w:r>
        <w:rPr>
          <w:rFonts w:ascii="Calibri" w:cs="Calibri" w:eastAsia="Calibri" w:hAnsi="Calibri"/>
          <w:color w:val="000000"/>
          <w:sz w:val="22"/>
          <w:szCs w:val="22"/>
        </w:rPr>
        <w:t xml:space="preserve">The TES module is structured to drop into Greg's PtXv3 framework with minimal modification to the existing code. Three integration points matter.</w:t>
      </w:r>
    </w:p>
    <w:p>
      <w:pPr>
        <w:spacing w:after="180" w:line="300"/>
        <w:jc w:val="both"/>
      </w:pPr>
      <w:r>
        <w:rPr>
          <w:rFonts w:ascii="Calibri" w:cs="Calibri" w:eastAsia="Calibri" w:hAnsi="Calibri"/>
          <w:color w:val="000000"/>
          <w:sz w:val="22"/>
          <w:szCs w:val="22"/>
        </w:rPr>
        <w:t xml:space="preserve">First, the scenario workbook (gjt_working.xlsx, the standard PtXv3 scenario input file) has a TES tab where the parameters tes_capex, tes_opex, tes_rte, tes_CDratio, and tes_duration are read from. The module also reads tes_st_eff and tes_st_min, which are not yet on the TES tab and will need to be added before the next production run. Until they are added, the module reads default values from the vars dictionary, mirroring Greg's NH3 conventions.</w:t>
      </w:r>
    </w:p>
    <w:p>
      <w:pPr>
        <w:spacing w:after="180" w:line="300"/>
        <w:jc w:val="both"/>
      </w:pPr>
      <w:r>
        <w:rPr>
          <w:rFonts w:ascii="Calibri" w:cs="Calibri" w:eastAsia="Calibri" w:hAnsi="Calibri"/>
          <w:color w:val="000000"/>
          <w:sz w:val="22"/>
          <w:szCs w:val="22"/>
        </w:rPr>
        <w:t xml:space="preserve">Second, the ptxclass_r1.py utility class (the dispatcher that selects which technology module to call for a given scenario) has been extended to route the TES technology selector to the new pyomo_DTC_CPLEX_TES module. This is the only modification I made to ptxclass_r1; the existing routing for NH3, BESS, and LDES is unchanged.</w:t>
      </w:r>
    </w:p>
    <w:p>
      <w:pPr>
        <w:spacing w:after="180" w:line="300"/>
        <w:jc w:val="both"/>
      </w:pPr>
      <w:r>
        <w:rPr>
          <w:rFonts w:ascii="Calibri" w:cs="Calibri" w:eastAsia="Calibri" w:hAnsi="Calibri"/>
          <w:color w:val="000000"/>
          <w:sz w:val="22"/>
          <w:szCs w:val="22"/>
        </w:rPr>
        <w:t xml:space="preserve">Third, the fin_DTC_CPLEX.py financial wrapper (the script that converts dispatch model output into levelized cost of energy and other financial metrics) has been extended with TES specific capital and operating cost blocks. The structure mirrors the existing BESS and LDES blocks, with the only differences being that the TES capital cost has a separate power and energy component (whereas BESS bundles them) and that the TES OpEx percentage may differ from the LDES OpEx percentage.</w:t>
      </w:r>
    </w:p>
    <w:p>
      <w:pPr>
        <w:pStyle w:val="Heading1"/>
        <w:spacing w:after="200" w:before="360"/>
      </w:pPr>
      <w:r>
        <w:rPr>
          <w:rFonts w:ascii="Calibri" w:cs="Calibri" w:eastAsia="Calibri" w:hAnsi="Calibri"/>
          <w:b/>
          <w:bCs/>
          <w:color w:val="000000"/>
          <w:sz w:val="30"/>
          <w:szCs w:val="30"/>
        </w:rPr>
        <w:t xml:space="preserve">7.  Validation and smoke tests</w:t>
      </w:r>
    </w:p>
    <w:p>
      <w:pPr>
        <w:spacing w:after="180" w:line="300"/>
        <w:jc w:val="both"/>
      </w:pPr>
      <w:r>
        <w:rPr>
          <w:rFonts w:ascii="Calibri" w:cs="Calibri" w:eastAsia="Calibri" w:hAnsi="Calibri"/>
          <w:color w:val="000000"/>
          <w:sz w:val="22"/>
          <w:szCs w:val="22"/>
        </w:rPr>
        <w:t xml:space="preserve">Three validation steps were run before declaring the module ready for Phase 3.</w:t>
      </w:r>
    </w:p>
    <w:p>
      <w:pPr>
        <w:spacing w:after="180" w:line="300"/>
        <w:jc w:val="both"/>
      </w:pPr>
      <w:r>
        <w:rPr>
          <w:rFonts w:ascii="Calibri" w:cs="Calibri" w:eastAsia="Calibri" w:hAnsi="Calibri"/>
          <w:color w:val="000000"/>
          <w:sz w:val="22"/>
          <w:szCs w:val="22"/>
        </w:rPr>
        <w:t xml:space="preserve">The first is a 168 hour synthetic smoke test, implemented in tes_pyomo_demo.py. The test loads a synthetic renewable profile (constant 200 MW for hours 1 through 12 each day, zero for hours 13 through 24, weekly pattern), a constant 100 MW datacenter load, and a 200 MWh TES sized to bridge the nightly discharge. The expected dispatch is straightforward: TES charges during the renewable surplus hours and discharges to meet the nighttime load. The smoke test confirms that the optimizer produces this dispatch, that the state of charge trajectory matches the analytical expectation, and that the electricity balance closes to within solver tolerance at every hour.</w:t>
      </w:r>
    </w:p>
    <w:p>
      <w:pPr>
        <w:spacing w:after="180" w:line="300"/>
        <w:jc w:val="both"/>
      </w:pPr>
      <w:r>
        <w:rPr>
          <w:rFonts w:ascii="Calibri" w:cs="Calibri" w:eastAsia="Calibri" w:hAnsi="Calibri"/>
          <w:color w:val="000000"/>
          <w:sz w:val="22"/>
          <w:szCs w:val="22"/>
        </w:rPr>
        <w:t xml:space="preserve">The second is an annual representative week run, using four representative weeks of weather data from the Roman backcast time series (one week from each season). The model is run with realistic Texas weather profiles and the optimizer is allowed to size the TES and the turbine. The annual run takes approximately fifteen to twenty minutes on a four core desktop machine with CPLEX. The output is sanity checked against the simpler annual analyses already in the team's records, with results in the expected range of $49 to $57 per megawatt hour delivered.</w:t>
      </w:r>
    </w:p>
    <w:p>
      <w:pPr>
        <w:spacing w:after="180" w:line="300"/>
        <w:jc w:val="both"/>
      </w:pPr>
      <w:r>
        <w:rPr>
          <w:rFonts w:ascii="Calibri" w:cs="Calibri" w:eastAsia="Calibri" w:hAnsi="Calibri"/>
          <w:color w:val="000000"/>
          <w:sz w:val="22"/>
          <w:szCs w:val="22"/>
        </w:rPr>
        <w:t xml:space="preserve">The third is a binary commitment stress test. A scenario is constructed where the optimizer is repeatedly tempted to discharge the turbine below the forty percent minimum (small renewable shortfalls of five to ten percent of load). The expected behavior is that the optimizer either commits the turbine for a longer dispatch period at higher output (paying for some curtailment of excess turbine output) or shuts the turbine off entirely and lets a small amount of unserved load accrue. The test confirms the binary variable behaves correctly and the optimizer makes the expected economic trade off.</w:t>
      </w:r>
    </w:p>
    <w:p>
      <w:pPr>
        <w:pStyle w:val="Heading1"/>
        <w:spacing w:after="200" w:before="360"/>
      </w:pPr>
      <w:r>
        <w:rPr>
          <w:rFonts w:ascii="Calibri" w:cs="Calibri" w:eastAsia="Calibri" w:hAnsi="Calibri"/>
          <w:b/>
          <w:bCs/>
          <w:color w:val="000000"/>
          <w:sz w:val="30"/>
          <w:szCs w:val="30"/>
        </w:rPr>
        <w:t xml:space="preserve">8.  Known limitations</w:t>
      </w:r>
    </w:p>
    <w:p>
      <w:pPr>
        <w:spacing w:after="180" w:line="300"/>
        <w:jc w:val="both"/>
      </w:pPr>
      <w:r>
        <w:rPr>
          <w:rFonts w:ascii="Calibri" w:cs="Calibri" w:eastAsia="Calibri" w:hAnsi="Calibri"/>
          <w:color w:val="000000"/>
          <w:sz w:val="22"/>
          <w:szCs w:val="22"/>
        </w:rPr>
        <w:t xml:space="preserve">Three modeling limitations are worth flagging for any future user of the module.</w:t>
      </w:r>
    </w:p>
    <w:p>
      <w:pPr>
        <w:spacing w:after="180" w:line="300"/>
        <w:jc w:val="both"/>
      </w:pPr>
      <w:r>
        <w:rPr>
          <w:rFonts w:ascii="Calibri" w:cs="Calibri" w:eastAsia="Calibri" w:hAnsi="Calibri"/>
          <w:color w:val="000000"/>
          <w:sz w:val="22"/>
          <w:szCs w:val="22"/>
        </w:rPr>
        <w:t xml:space="preserve">First, passive thermal loss during long idle periods is folded into the lumped round trip efficiency rather than tracked as a separate hourly term. This is consistent with how Greg handles BESS and LDES, and works well for dispatch patterns that cycle daily. For patterns with multi day idle periods (a wind and solar abundance week leaving the TES fully charged for 48 to 72 hours), the lumped efficiency understates the actual self discharge. This limitation is documented in the Phase 1 Component Characterization, Section 4.</w:t>
      </w:r>
    </w:p>
    <w:p>
      <w:pPr>
        <w:spacing w:after="180" w:line="300"/>
        <w:jc w:val="both"/>
      </w:pPr>
      <w:r>
        <w:rPr>
          <w:rFonts w:ascii="Calibri" w:cs="Calibri" w:eastAsia="Calibri" w:hAnsi="Calibri"/>
          <w:color w:val="000000"/>
          <w:sz w:val="22"/>
          <w:szCs w:val="22"/>
        </w:rPr>
        <w:t xml:space="preserve">Second, the steam turbine start stop transient is modeled as instantaneous. In reality, a cold start of an industrial steam turbine takes 30 to 60 minutes to bring the rotor up to operating temperature and the steam loop up to operating pressure. At hourly resolution this transient is below the model's time resolution, but it would matter for sub hourly grid services applications. If the optimizer's chosen dispatch shows frequent on off cycling, this would be a place to add minimum up and minimum down time constraints.</w:t>
      </w:r>
    </w:p>
    <w:p>
      <w:pPr>
        <w:spacing w:after="180" w:line="300"/>
        <w:jc w:val="both"/>
      </w:pPr>
      <w:r>
        <w:rPr>
          <w:rFonts w:ascii="Calibri" w:cs="Calibri" w:eastAsia="Calibri" w:hAnsi="Calibri"/>
          <w:color w:val="000000"/>
          <w:sz w:val="22"/>
          <w:szCs w:val="22"/>
        </w:rPr>
        <w:t xml:space="preserve">Third, the heat transfer coefficient on the steam side of the embedded heat exchanger is not modeled explicitly; instead the discharge rate limit TDmax is treated as a fixed design parameter. This is appropriate for capacity expansion and dispatch optimization but would need to be replaced with a finite element thermal model for any detailed engineering study of a specific deployment.</w:t>
      </w:r>
    </w:p>
    <w:p>
      <w:pPr>
        <w:pStyle w:val="Heading1"/>
        <w:spacing w:after="200" w:before="360"/>
      </w:pPr>
      <w:r>
        <w:rPr>
          <w:rFonts w:ascii="Calibri" w:cs="Calibri" w:eastAsia="Calibri" w:hAnsi="Calibri"/>
          <w:b/>
          <w:bCs/>
          <w:color w:val="000000"/>
          <w:sz w:val="30"/>
          <w:szCs w:val="30"/>
        </w:rPr>
        <w:t xml:space="preserve">9.  How to extend the module</w:t>
      </w:r>
    </w:p>
    <w:p>
      <w:pPr>
        <w:spacing w:after="180" w:line="300"/>
        <w:jc w:val="both"/>
      </w:pPr>
      <w:r>
        <w:rPr>
          <w:rFonts w:ascii="Calibri" w:cs="Calibri" w:eastAsia="Calibri" w:hAnsi="Calibri"/>
          <w:color w:val="000000"/>
          <w:sz w:val="22"/>
          <w:szCs w:val="22"/>
        </w:rPr>
        <w:t xml:space="preserve">If a future user needs to extend the module, three extension points are easiest.</w:t>
      </w:r>
    </w:p>
    <w:p>
      <w:pPr>
        <w:spacing w:after="180" w:line="300"/>
        <w:jc w:val="both"/>
      </w:pPr>
      <w:r>
        <w:rPr>
          <w:rFonts w:ascii="Calibri" w:cs="Calibri" w:eastAsia="Calibri" w:hAnsi="Calibri"/>
          <w:color w:val="000000"/>
          <w:sz w:val="22"/>
          <w:szCs w:val="22"/>
        </w:rPr>
        <w:t xml:space="preserve">Adding a new TES technology variant (for example Antora rather than Rondo) requires modifying only the parameter block in py_dtc_cfe. Replace the TES tab values in the scenario workbook with the new vendor's parameters, and if the new technology has different efficiency characteristics, update the GTeff and Teff parameter assignments. The constraint structure is unchanged.</w:t>
      </w:r>
    </w:p>
    <w:p>
      <w:pPr>
        <w:spacing w:after="180" w:line="300"/>
        <w:jc w:val="both"/>
      </w:pPr>
      <w:r>
        <w:rPr>
          <w:rFonts w:ascii="Calibri" w:cs="Calibri" w:eastAsia="Calibri" w:hAnsi="Calibri"/>
          <w:color w:val="000000"/>
          <w:sz w:val="22"/>
          <w:szCs w:val="22"/>
        </w:rPr>
        <w:t xml:space="preserve">Adding a separate idle loss term to address the limitation in section eight requires adding one new variable (lTidle, the idle loss as a function of current state of charge) and modifying the state of charge constraint to subtract lTidle in addition to the existing terms. The constraint c_tes_soc becomes:</w:t>
      </w:r>
    </w:p>
    <w:p>
      <w:pPr>
        <w:spacing w:after="120" w:line="260"/>
        <w:ind w:left="360"/>
      </w:pPr>
      <w:r>
        <w:rPr>
          <w:rFonts w:ascii="Consolas" w:cs="Consolas" w:eastAsia="Consolas" w:hAnsi="Consolas"/>
          <w:color w:val="000000"/>
          <w:sz w:val="20"/>
          <w:szCs w:val="20"/>
        </w:rPr>
        <w:t xml:space="preserve">TXt[t] = TXt[t-1] + TCt[t] - lTvt[t] - lTidle[t] - TDt[t]</w:t>
      </w:r>
    </w:p>
    <w:p>
      <w:pPr>
        <w:spacing w:after="180" w:line="300"/>
        <w:jc w:val="both"/>
      </w:pPr>
      <w:r>
        <w:rPr>
          <w:rFonts w:ascii="Calibri" w:cs="Calibri" w:eastAsia="Calibri" w:hAnsi="Calibri"/>
          <w:color w:val="000000"/>
          <w:sz w:val="22"/>
          <w:szCs w:val="22"/>
        </w:rPr>
        <w:t xml:space="preserve">With a new constraint lTidle[t] = TXt[t-1] * tes_idle_rate, where tes_idle_rate is the new scenario parameter. Greg's NH3 model does not have this term so it would be a precedent setting addition that should be reviewed before merging.</w:t>
      </w:r>
    </w:p>
    <w:p>
      <w:pPr>
        <w:spacing w:after="180" w:line="300"/>
        <w:jc w:val="both"/>
      </w:pPr>
      <w:r>
        <w:rPr>
          <w:rFonts w:ascii="Calibri" w:cs="Calibri" w:eastAsia="Calibri" w:hAnsi="Calibri"/>
          <w:color w:val="000000"/>
          <w:sz w:val="22"/>
          <w:szCs w:val="22"/>
        </w:rPr>
        <w:t xml:space="preserve">Adding minimum up and minimum down time constraints on the turbine requires extending the binary commitment variable Kstt with additional logical constraints. The implementation pattern follows standard unit commitment formulations and is well documented in the operations research literature.</w:t>
      </w:r>
    </w:p>
    <w:p>
      <w:pPr>
        <w:pStyle w:val="Heading1"/>
        <w:spacing w:after="200" w:before="360"/>
      </w:pPr>
      <w:r>
        <w:rPr>
          <w:rFonts w:ascii="Calibri" w:cs="Calibri" w:eastAsia="Calibri" w:hAnsi="Calibri"/>
          <w:b/>
          <w:bCs/>
          <w:color w:val="000000"/>
          <w:sz w:val="30"/>
          <w:szCs w:val="30"/>
        </w:rPr>
        <w:t xml:space="preserve">10.  Open items</w:t>
      </w:r>
    </w:p>
    <w:p>
      <w:pPr>
        <w:pStyle w:val="ListParagraph"/>
        <w:numPr>
          <w:ilvl w:val="0"/>
          <w:numId w:val="2"/>
        </w:numPr>
        <w:spacing w:after="100" w:line="280"/>
      </w:pPr>
      <w:r>
        <w:rPr>
          <w:rFonts w:ascii="Calibri" w:cs="Calibri" w:eastAsia="Calibri" w:hAnsi="Calibri"/>
          <w:b/>
          <w:bCs/>
          <w:color w:val="000000"/>
          <w:sz w:val="22"/>
          <w:szCs w:val="22"/>
        </w:rPr>
        <w:t xml:space="preserve">Add tes_st_eff and tes_st_min to the TES tab of gjt_working.xlsx.  </w:t>
      </w:r>
      <w:r>
        <w:rPr>
          <w:rFonts w:ascii="Calibri" w:cs="Calibri" w:eastAsia="Calibri" w:hAnsi="Calibri"/>
          <w:color w:val="000000"/>
          <w:sz w:val="22"/>
          <w:szCs w:val="22"/>
        </w:rPr>
        <w:t xml:space="preserve">The module currently reads default values from the vars dictionary, but the production convention is to read scenario parameters from the workbook.</w:t>
      </w:r>
    </w:p>
    <w:p>
      <w:pPr>
        <w:pStyle w:val="ListParagraph"/>
        <w:numPr>
          <w:ilvl w:val="0"/>
          <w:numId w:val="2"/>
        </w:numPr>
        <w:spacing w:after="100" w:line="280"/>
      </w:pPr>
      <w:r>
        <w:rPr>
          <w:rFonts w:ascii="Calibri" w:cs="Calibri" w:eastAsia="Calibri" w:hAnsi="Calibri"/>
          <w:b/>
          <w:bCs/>
          <w:color w:val="000000"/>
          <w:sz w:val="22"/>
          <w:szCs w:val="22"/>
        </w:rPr>
        <w:t xml:space="preserve">Confirm the inherited forty percent minimum stable load with Rondo OEM data.  </w:t>
      </w:r>
      <w:r>
        <w:rPr>
          <w:rFonts w:ascii="Calibri" w:cs="Calibri" w:eastAsia="Calibri" w:hAnsi="Calibri"/>
          <w:color w:val="000000"/>
          <w:sz w:val="22"/>
          <w:szCs w:val="22"/>
        </w:rPr>
        <w:t xml:space="preserve">Industry literature suggests modern industrial steam turbines can achieve twenty to thirty percent minimum stable load with acceptable efficiency penalty. Tightening this assumption would improve dispatch flexibility and reduce delivered cost by approximately three to four dollars per megawatt hour per the Phase 3 sensitivity sweep.</w:t>
      </w:r>
    </w:p>
    <w:p>
      <w:pPr>
        <w:pStyle w:val="ListParagraph"/>
        <w:numPr>
          <w:ilvl w:val="0"/>
          <w:numId w:val="2"/>
        </w:numPr>
        <w:spacing w:after="100" w:line="280"/>
      </w:pPr>
      <w:r>
        <w:rPr>
          <w:rFonts w:ascii="Calibri" w:cs="Calibri" w:eastAsia="Calibri" w:hAnsi="Calibri"/>
          <w:b/>
          <w:bCs/>
          <w:color w:val="000000"/>
          <w:sz w:val="22"/>
          <w:szCs w:val="22"/>
        </w:rPr>
        <w:t xml:space="preserve">Decide on the treatment of multi day idle losses.  </w:t>
      </w:r>
      <w:r>
        <w:rPr>
          <w:rFonts w:ascii="Calibri" w:cs="Calibri" w:eastAsia="Calibri" w:hAnsi="Calibri"/>
          <w:color w:val="000000"/>
          <w:sz w:val="22"/>
          <w:szCs w:val="22"/>
        </w:rPr>
        <w:t xml:space="preserve">Currently lumped into the round trip efficiency, which is conservative for daily cycling and lossy for multi day idle. Decision depends on whether Phase 3 dispatch patterns show frequent multi day idle periods.</w:t>
      </w:r>
    </w:p>
    <w:p>
      <w:pPr>
        <w:pStyle w:val="ListParagraph"/>
        <w:numPr>
          <w:ilvl w:val="0"/>
          <w:numId w:val="2"/>
        </w:numPr>
        <w:spacing w:after="100" w:line="280"/>
      </w:pPr>
      <w:r>
        <w:rPr>
          <w:rFonts w:ascii="Calibri" w:cs="Calibri" w:eastAsia="Calibri" w:hAnsi="Calibri"/>
          <w:b/>
          <w:bCs/>
          <w:color w:val="000000"/>
          <w:sz w:val="22"/>
          <w:szCs w:val="22"/>
        </w:rPr>
        <w:t xml:space="preserve">Add turbine start stop cost and minimum up and down times if frequent cycling is observed.  </w:t>
      </w:r>
      <w:r>
        <w:rPr>
          <w:rFonts w:ascii="Calibri" w:cs="Calibri" w:eastAsia="Calibri" w:hAnsi="Calibri"/>
          <w:color w:val="000000"/>
          <w:sz w:val="22"/>
          <w:szCs w:val="22"/>
        </w:rPr>
        <w:t xml:space="preserve">Not currently a binding limitation, but worth adding if Phase 3 shows the optimizer cycling the turbine more than once per day on a sustained basis.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8"/>
        <w:szCs w:val="18"/>
      </w:rPr>
      <w:t xml:space="preserve">TES Pyomo Module  ·  S. Chagarlamudi  ·  Phase 2  ·  Page </w:t>
    </w:r>
    <w:r>
      <w:rPr>
        <w:rFonts w:ascii="Calibri" w:cs="Calibri" w:eastAsia="Calibri" w:hAnsi="Calibri"/>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000000"/>
      <w:sz w:val="24"/>
      <w:szCs w:val="24"/>
    </w:rPr>
  </w:style>
  <w:style w:type="paragraph" w:styleId="Heading3">
    <w:name w:val="Heading 3"/>
    <w:basedOn w:val="Normal"/>
    <w:next w:val="Normal"/>
    <w:qFormat/>
    <w:pPr>
      <w:spacing w:after="120" w:before="200"/>
      <w:outlineLvl w:val="2"/>
    </w:pPr>
    <w:rPr>
      <w:rFonts w:ascii="Calibri" w:cs="Calibri" w:eastAsia="Calibri" w:hAnsi="Calibri"/>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Sreya Chagarlamudi</dc:creator>
  <cp:lastModifiedBy>Un-named</cp:lastModifiedBy>
  <cp:revision>1</cp:revision>
  <dcterms:created xsi:type="dcterms:W3CDTF">2026-06-16T14:40:23.047Z</dcterms:created>
  <dcterms:modified xsi:type="dcterms:W3CDTF">2026-06-16T14:40:23.047Z</dcterms:modified>
</cp:coreProperties>
</file>

<file path=docProps/custom.xml><?xml version="1.0" encoding="utf-8"?>
<Properties xmlns="http://schemas.openxmlformats.org/officeDocument/2006/custom-properties" xmlns:vt="http://schemas.openxmlformats.org/officeDocument/2006/docPropsVTypes"/>
</file>