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00000"/>
          <w:spacing w:val="60"/>
          <w:sz w:val="18"/>
          <w:szCs w:val="18"/>
        </w:rPr>
        <w:t xml:space="preserve">PHASE 2 DELIVERABLE</w:t>
      </w:r>
    </w:p>
    <w:p>
      <w:pPr>
        <w:spacing w:after="60"/>
      </w:pPr>
      <w:r>
        <w:rPr>
          <w:rFonts w:ascii="Calibri" w:cs="Calibri" w:eastAsia="Calibri" w:hAnsi="Calibri"/>
          <w:b/>
          <w:bCs/>
          <w:color w:val="000000"/>
          <w:sz w:val="40"/>
          <w:szCs w:val="40"/>
        </w:rPr>
        <w:t xml:space="preserve">How to Run the Model</w:t>
      </w:r>
    </w:p>
    <w:p>
      <w:pPr>
        <w:spacing w:after="280"/>
      </w:pPr>
      <w:r>
        <w:rPr>
          <w:rFonts w:ascii="Calibri" w:cs="Calibri" w:eastAsia="Calibri" w:hAnsi="Calibri"/>
          <w:i/>
          <w:iCs/>
          <w:color w:val="000000"/>
          <w:sz w:val="22"/>
          <w:szCs w:val="22"/>
        </w:rPr>
        <w:t xml:space="preserve">Operational guide for executing a Phase 2 scenario</w:t>
      </w:r>
    </w:p>
    <w:p>
      <w:pPr>
        <w:pStyle w:val="Heading1"/>
        <w:spacing w:after="200" w:before="360"/>
      </w:pPr>
      <w:r>
        <w:rPr>
          <w:rFonts w:ascii="Calibri" w:cs="Calibri" w:eastAsia="Calibri" w:hAnsi="Calibri"/>
          <w:b/>
          <w:bCs/>
          <w:color w:val="000000"/>
          <w:sz w:val="30"/>
          <w:szCs w:val="30"/>
        </w:rPr>
        <w:t xml:space="preserve">1.  Environment setup</w:t>
      </w:r>
    </w:p>
    <w:p>
      <w:pPr>
        <w:spacing w:after="180" w:line="300"/>
        <w:jc w:val="both"/>
      </w:pPr>
      <w:r>
        <w:rPr>
          <w:rFonts w:ascii="Calibri" w:cs="Calibri" w:eastAsia="Calibri" w:hAnsi="Calibri"/>
          <w:color w:val="000000"/>
          <w:sz w:val="22"/>
          <w:szCs w:val="22"/>
        </w:rPr>
        <w:t xml:space="preserve">The model runs on Python 3.10 or later. The required dependencies are Pyomo (version 6.6 or later, the optimization modeling library), pandas (data manipulation), numpy (numerical computation), tqdm (progress bar), and openpyxl (for reading the scenario workbook). A solver is also required; either CPLEX or Gurobi. CPLEX is the default and is installed at Intersect Power on the model team workstations. Gurobi is supported as an alternative for users who have a Gurobi license.</w:t>
      </w:r>
    </w:p>
    <w:p>
      <w:pPr>
        <w:spacing w:after="180" w:line="300"/>
        <w:jc w:val="both"/>
      </w:pPr>
      <w:r>
        <w:rPr>
          <w:rFonts w:ascii="Calibri" w:cs="Calibri" w:eastAsia="Calibri" w:hAnsi="Calibri"/>
          <w:color w:val="000000"/>
          <w:sz w:val="22"/>
          <w:szCs w:val="22"/>
        </w:rPr>
        <w:t xml:space="preserve">To set up a local environment, create a Python virtual environment, install the dependencies from the requirements.txt file in the x_PtXv3 repository, and either install IBM CPLEX or set the solve_with_gurobi flag to 1 in the scenario workbook. The setup steps are documented in the x_PtXv3 repository README in more detail.</w:t>
      </w:r>
    </w:p>
    <w:p>
      <w:pPr>
        <w:pStyle w:val="Heading1"/>
        <w:spacing w:after="200" w:before="360"/>
      </w:pPr>
      <w:r>
        <w:rPr>
          <w:rFonts w:ascii="Calibri" w:cs="Calibri" w:eastAsia="Calibri" w:hAnsi="Calibri"/>
          <w:b/>
          <w:bCs/>
          <w:color w:val="000000"/>
          <w:sz w:val="30"/>
          <w:szCs w:val="30"/>
        </w:rPr>
        <w:t xml:space="preserve">2.  Scenario workbook structure</w:t>
      </w:r>
    </w:p>
    <w:p>
      <w:pPr>
        <w:spacing w:after="180" w:line="300"/>
        <w:jc w:val="both"/>
      </w:pPr>
      <w:r>
        <w:rPr>
          <w:rFonts w:ascii="Calibri" w:cs="Calibri" w:eastAsia="Calibri" w:hAnsi="Calibri"/>
          <w:color w:val="000000"/>
          <w:sz w:val="22"/>
          <w:szCs w:val="22"/>
        </w:rPr>
        <w:t xml:space="preserve">The scenario inputs are read from gjt_working.xlsx, which is the standard PtXv3 scenario workbook. The TES tab contains the TES specific parameters. The relevant fields and their expected values for the current default scenario are tes_capex at forty dollars per kilowatt hour thermal, tes_opex at four percent per year, tes_rte at ninety percent, tes_CDratio at three, tes_duration at sixteen hours, tes_st_eff at forty percent (to be added to the workbook before next production run), and tes_st_min at forty percent (also to be added).</w:t>
      </w:r>
    </w:p>
    <w:p>
      <w:pPr>
        <w:spacing w:after="180" w:line="300"/>
        <w:jc w:val="both"/>
      </w:pPr>
      <w:r>
        <w:rPr>
          <w:rFonts w:ascii="Calibri" w:cs="Calibri" w:eastAsia="Calibri" w:hAnsi="Calibri"/>
          <w:color w:val="000000"/>
          <w:sz w:val="22"/>
          <w:szCs w:val="22"/>
        </w:rPr>
        <w:t xml:space="preserve">Other relevant tabs include the Sites tab (renewable generation profiles, capacity factors, weather year), the Finance tab (WACC, tax credits, ITC and PTC parameters), and the Load tab (datacenter load profile, currently flat 1,000 MW). The model reads from all of these in addition to the TES tab.</w:t>
      </w:r>
    </w:p>
    <w:p>
      <w:pPr>
        <w:pStyle w:val="Heading1"/>
        <w:spacing w:after="200" w:before="360"/>
      </w:pPr>
      <w:r>
        <w:rPr>
          <w:rFonts w:ascii="Calibri" w:cs="Calibri" w:eastAsia="Calibri" w:hAnsi="Calibri"/>
          <w:b/>
          <w:bCs/>
          <w:color w:val="000000"/>
          <w:sz w:val="30"/>
          <w:szCs w:val="30"/>
        </w:rPr>
        <w:t xml:space="preserve">3.  Running a scenario</w:t>
      </w:r>
    </w:p>
    <w:p>
      <w:pPr>
        <w:spacing w:after="180" w:line="300"/>
        <w:jc w:val="both"/>
      </w:pPr>
      <w:r>
        <w:rPr>
          <w:rFonts w:ascii="Calibri" w:cs="Calibri" w:eastAsia="Calibri" w:hAnsi="Calibri"/>
          <w:color w:val="000000"/>
          <w:sz w:val="22"/>
          <w:szCs w:val="22"/>
        </w:rPr>
        <w:t xml:space="preserve">The top level entry point is fin_DTC_CPLEX.py in the x_PtXv3 repository. To execute a scenario, edit the scenario configuration block at the top of the file to point to the desired tab in gjt_working.xlsx, then run the script from the command line. A typical invocation is:</w:t>
      </w:r>
    </w:p>
    <w:p>
      <w:pPr>
        <w:spacing w:after="120" w:line="260"/>
        <w:ind w:left="360"/>
      </w:pPr>
      <w:r>
        <w:rPr>
          <w:rFonts w:ascii="Consolas" w:cs="Consolas" w:eastAsia="Consolas" w:hAnsi="Consolas"/>
          <w:color w:val="000000"/>
          <w:sz w:val="20"/>
          <w:szCs w:val="20"/>
        </w:rPr>
        <w:t xml:space="preserve">python fin_DTC_CPLEX.py</w:t>
      </w:r>
    </w:p>
    <w:p>
      <w:pPr>
        <w:spacing w:after="180" w:line="300"/>
        <w:jc w:val="both"/>
      </w:pPr>
      <w:r>
        <w:rPr>
          <w:rFonts w:ascii="Calibri" w:cs="Calibri" w:eastAsia="Calibri" w:hAnsi="Calibri"/>
          <w:color w:val="000000"/>
          <w:sz w:val="22"/>
          <w:szCs w:val="22"/>
        </w:rPr>
        <w:t xml:space="preserve">The script reads the scenario workbook, calls the dispatch model (pyomo_DTC_CPLEX_TES.py via ptxclass_r1.py routing), and writes the dispatch time series and the financial metrics to the outputs directory. A full year representative week scenario takes approximately fifteen to twenty minutes on a four core desktop with CPLEX. A 168 hour smoke test takes approximately fifteen seconds.</w:t>
      </w:r>
    </w:p>
    <w:p>
      <w:pPr>
        <w:pStyle w:val="Heading1"/>
        <w:spacing w:after="200" w:before="360"/>
      </w:pPr>
      <w:r>
        <w:rPr>
          <w:rFonts w:ascii="Calibri" w:cs="Calibri" w:eastAsia="Calibri" w:hAnsi="Calibri"/>
          <w:b/>
          <w:bCs/>
          <w:color w:val="000000"/>
          <w:sz w:val="30"/>
          <w:szCs w:val="30"/>
        </w:rPr>
        <w:t xml:space="preserve">4.  Selecting between CPLEX and Gurobi</w:t>
      </w:r>
    </w:p>
    <w:p>
      <w:pPr>
        <w:spacing w:after="180" w:line="300"/>
        <w:jc w:val="both"/>
      </w:pPr>
      <w:r>
        <w:rPr>
          <w:rFonts w:ascii="Calibri" w:cs="Calibri" w:eastAsia="Calibri" w:hAnsi="Calibri"/>
          <w:color w:val="000000"/>
          <w:sz w:val="22"/>
          <w:szCs w:val="22"/>
        </w:rPr>
        <w:t xml:space="preserve">The solve_with_gurobi flag in the scenario workbook controls solver selection. Set to one to use Gurobi, zero to use CPLEX. CPLEX is the default and is generally more robust for the MILP problem sizes I am working with. Gurobi tends to be faster on the LP relaxations but occasionally hits numerical instability on the binary commitment problem. The model produces identical results either way.</w:t>
      </w:r>
    </w:p>
    <w:p>
      <w:pPr>
        <w:spacing w:after="180" w:line="300"/>
        <w:jc w:val="both"/>
      </w:pPr>
      <w:r>
        <w:rPr>
          <w:rFonts w:ascii="Calibri" w:cs="Calibri" w:eastAsia="Calibri" w:hAnsi="Calibri"/>
          <w:color w:val="000000"/>
          <w:sz w:val="22"/>
          <w:szCs w:val="22"/>
        </w:rPr>
        <w:t xml:space="preserve">The MIP gap tolerance is set in code as a function of window size and load magnitude. The default is intentionally loose (approximately 1,000 dollars on a multi million dollar annual cost objective) because the binary commitment problem can otherwise take hours to find a provably optimal solution. The looser tolerance produces solutions within roughly 0.1 percent of true optimal, which is well below the modeling uncertainty in the input parameters.</w:t>
      </w:r>
    </w:p>
    <w:p>
      <w:pPr>
        <w:pStyle w:val="Heading1"/>
        <w:spacing w:after="200" w:before="360"/>
      </w:pPr>
      <w:r>
        <w:rPr>
          <w:rFonts w:ascii="Calibri" w:cs="Calibri" w:eastAsia="Calibri" w:hAnsi="Calibri"/>
          <w:b/>
          <w:bCs/>
          <w:color w:val="000000"/>
          <w:sz w:val="30"/>
          <w:szCs w:val="30"/>
        </w:rPr>
        <w:t xml:space="preserve">5.  Interpreting the output</w:t>
      </w:r>
    </w:p>
    <w:p>
      <w:pPr>
        <w:spacing w:after="180" w:line="300"/>
        <w:jc w:val="both"/>
      </w:pPr>
      <w:r>
        <w:rPr>
          <w:rFonts w:ascii="Calibri" w:cs="Calibri" w:eastAsia="Calibri" w:hAnsi="Calibri"/>
          <w:color w:val="000000"/>
          <w:sz w:val="22"/>
          <w:szCs w:val="22"/>
        </w:rPr>
        <w:t xml:space="preserve">The dispatch model returns a pandas DataFrame indexed by hour with one column per variable. The TES specific columns are TCt (charging), TDt (thermal discharge), TXt (state of charge), Gtest (electrical output), Kstt (binary commitment), and lTvt (charging loss). All values are in the same units as the corresponding Pyomo variables: kilowatts for power flows, kilowatt hours for state of charge, and zero or one for the binary commitment.</w:t>
      </w:r>
    </w:p>
    <w:p>
      <w:pPr>
        <w:spacing w:after="180" w:line="300"/>
        <w:jc w:val="both"/>
      </w:pPr>
      <w:r>
        <w:rPr>
          <w:rFonts w:ascii="Calibri" w:cs="Calibri" w:eastAsia="Calibri" w:hAnsi="Calibri"/>
          <w:color w:val="000000"/>
          <w:sz w:val="22"/>
          <w:szCs w:val="22"/>
        </w:rPr>
        <w:t xml:space="preserve">The financial wrapper aggregates the dispatch into a single delivered cost figure expressed in dollars per megawatt hour of energy served to the datacenter. The breakdown by technology (renewable, BESS, LDES, TES, natural gas) is also written to the outputs directory. A representative output for the default West Texas scenario shows TES capacity around 200 to 300 megawatts, TES storage duration around twelve to sixteen hours, and delivered cost in the range of forty nine to fifty seven dollars per megawatt hour.</w:t>
      </w:r>
    </w:p>
    <w:p>
      <w:pPr>
        <w:pStyle w:val="Heading1"/>
        <w:spacing w:after="200" w:before="360"/>
      </w:pPr>
      <w:r>
        <w:rPr>
          <w:rFonts w:ascii="Calibri" w:cs="Calibri" w:eastAsia="Calibri" w:hAnsi="Calibri"/>
          <w:b/>
          <w:bCs/>
          <w:color w:val="000000"/>
          <w:sz w:val="30"/>
          <w:szCs w:val="30"/>
        </w:rPr>
        <w:t xml:space="preserve">6.  Common error modes</w:t>
      </w:r>
    </w:p>
    <w:p>
      <w:pPr>
        <w:pStyle w:val="ListParagraph"/>
        <w:numPr>
          <w:ilvl w:val="0"/>
          <w:numId w:val="2"/>
        </w:numPr>
        <w:spacing w:after="100" w:line="280"/>
      </w:pPr>
      <w:r>
        <w:rPr>
          <w:rFonts w:ascii="Calibri" w:cs="Calibri" w:eastAsia="Calibri" w:hAnsi="Calibri"/>
          <w:b/>
          <w:bCs/>
          <w:color w:val="000000"/>
          <w:sz w:val="22"/>
          <w:szCs w:val="22"/>
        </w:rPr>
        <w:t xml:space="preserve">Infeasible problem.  </w:t>
      </w:r>
      <w:r>
        <w:rPr>
          <w:rFonts w:ascii="Calibri" w:cs="Calibri" w:eastAsia="Calibri" w:hAnsi="Calibri"/>
          <w:color w:val="000000"/>
          <w:sz w:val="22"/>
          <w:szCs w:val="22"/>
        </w:rPr>
        <w:t xml:space="preserve">Usually means the load served constraint cannot be satisfied with the chosen capacity mix. Check that renewable capacity is at least two times average load and that some form of storage is enabled. If the problem persists, the load curtailment penalty PenLcurtt can be reduced to allow the optimizer to accept some unserved load and produce a partial solution to diagnose what is binding.</w:t>
      </w:r>
    </w:p>
    <w:p>
      <w:pPr>
        <w:pStyle w:val="ListParagraph"/>
        <w:numPr>
          <w:ilvl w:val="0"/>
          <w:numId w:val="2"/>
        </w:numPr>
        <w:spacing w:after="100" w:line="280"/>
      </w:pPr>
      <w:r>
        <w:rPr>
          <w:rFonts w:ascii="Calibri" w:cs="Calibri" w:eastAsia="Calibri" w:hAnsi="Calibri"/>
          <w:b/>
          <w:bCs/>
          <w:color w:val="000000"/>
          <w:sz w:val="22"/>
          <w:szCs w:val="22"/>
        </w:rPr>
        <w:t xml:space="preserve">Solver timeout.  </w:t>
      </w:r>
      <w:r>
        <w:rPr>
          <w:rFonts w:ascii="Calibri" w:cs="Calibri" w:eastAsia="Calibri" w:hAnsi="Calibri"/>
          <w:color w:val="000000"/>
          <w:sz w:val="22"/>
          <w:szCs w:val="22"/>
        </w:rPr>
        <w:t xml:space="preserve">MILP problems can occasionally run for extended periods when the binary commitment search tree is large. The first remediation is to increase the MIP gap tolerance. The second is to shorten the window size from 336 hours to 168 hours, which reduces the problem size per window at the cost of slightly less foresight. The third is to switch from CPLEX to Gurobi or vice versa.</w:t>
      </w:r>
    </w:p>
    <w:p>
      <w:pPr>
        <w:pStyle w:val="ListParagraph"/>
        <w:numPr>
          <w:ilvl w:val="0"/>
          <w:numId w:val="2"/>
        </w:numPr>
        <w:spacing w:after="100" w:line="280"/>
      </w:pPr>
      <w:r>
        <w:rPr>
          <w:rFonts w:ascii="Calibri" w:cs="Calibri" w:eastAsia="Calibri" w:hAnsi="Calibri"/>
          <w:b/>
          <w:bCs/>
          <w:color w:val="000000"/>
          <w:sz w:val="22"/>
          <w:szCs w:val="22"/>
        </w:rPr>
        <w:t xml:space="preserve">State of charge negative at hour boundary.  </w:t>
      </w:r>
      <w:r>
        <w:rPr>
          <w:rFonts w:ascii="Calibri" w:cs="Calibri" w:eastAsia="Calibri" w:hAnsi="Calibri"/>
          <w:color w:val="000000"/>
          <w:sz w:val="22"/>
          <w:szCs w:val="22"/>
        </w:rPr>
        <w:t xml:space="preserve">Means the rolling window initial condition is being set incorrectly. Check that the TXi parameter is being passed correctly between roll_cfe and py_dtc_cfe at every iteration. The default code handles this correctly but a custom modification to the rolling window logic could break it.</w:t>
      </w:r>
    </w:p>
    <w:p>
      <w:pPr>
        <w:pStyle w:val="ListParagraph"/>
        <w:numPr>
          <w:ilvl w:val="0"/>
          <w:numId w:val="2"/>
        </w:numPr>
        <w:spacing w:after="100" w:line="280"/>
      </w:pPr>
      <w:r>
        <w:rPr>
          <w:rFonts w:ascii="Calibri" w:cs="Calibri" w:eastAsia="Calibri" w:hAnsi="Calibri"/>
          <w:b/>
          <w:bCs/>
          <w:color w:val="000000"/>
          <w:sz w:val="22"/>
          <w:szCs w:val="22"/>
        </w:rPr>
        <w:t xml:space="preserve">Binary variable taking non integer values.  </w:t>
      </w:r>
      <w:r>
        <w:rPr>
          <w:rFonts w:ascii="Calibri" w:cs="Calibri" w:eastAsia="Calibri" w:hAnsi="Calibri"/>
          <w:color w:val="000000"/>
          <w:sz w:val="22"/>
          <w:szCs w:val="22"/>
        </w:rPr>
        <w:t xml:space="preserve">Means CPLEX has accepted a near integer solution within tolerance. Round Kstt to the nearest integer in postprocessing. The dispatch interpretation is unchanged because the constraint c_st_max and c_st_min enforce the same behavior on Gtest either way.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How to Run the Model  ·  S. Chagarlamudi  ·  Phase 2  ·  Page </w:t>
    </w:r>
    <w:r>
      <w:rPr>
        <w:rFonts w:ascii="Calibri" w:cs="Calibri" w:eastAsia="Calibri" w:hAnsi="Calibri"/>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000000"/>
      <w:sz w:val="24"/>
      <w:szCs w:val="24"/>
    </w:rPr>
  </w:style>
  <w:style w:type="paragraph" w:styleId="Heading3">
    <w:name w:val="Heading 3"/>
    <w:basedOn w:val="Normal"/>
    <w:next w:val="Normal"/>
    <w:qFormat/>
    <w:pPr>
      <w:spacing w:after="120" w:before="200"/>
      <w:outlineLvl w:val="2"/>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Sreya Chagarlamudi</dc:creator>
  <cp:lastModifiedBy>Un-named</cp:lastModifiedBy>
  <cp:revision>1</cp:revision>
  <dcterms:created xsi:type="dcterms:W3CDTF">2026-06-16T14:40:23.084Z</dcterms:created>
  <dcterms:modified xsi:type="dcterms:W3CDTF">2026-06-16T14:40:23.084Z</dcterms:modified>
</cp:coreProperties>
</file>

<file path=docProps/custom.xml><?xml version="1.0" encoding="utf-8"?>
<Properties xmlns="http://schemas.openxmlformats.org/officeDocument/2006/custom-properties" xmlns:vt="http://schemas.openxmlformats.org/officeDocument/2006/docPropsVTypes"/>
</file>