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000000"/>
          <w:spacing w:val="60"/>
          <w:sz w:val="18"/>
          <w:szCs w:val="18"/>
        </w:rPr>
        <w:t xml:space="preserve">PHASE 2 DELIVERABLE</w:t>
      </w:r>
    </w:p>
    <w:p>
      <w:pPr>
        <w:spacing w:after="60"/>
      </w:pPr>
      <w:r>
        <w:rPr>
          <w:rFonts w:ascii="Calibri" w:cs="Calibri" w:eastAsia="Calibri" w:hAnsi="Calibri"/>
          <w:b/>
          <w:bCs/>
          <w:color w:val="000000"/>
          <w:sz w:val="40"/>
          <w:szCs w:val="40"/>
        </w:rPr>
        <w:t xml:space="preserve">Module Validation</w:t>
      </w:r>
    </w:p>
    <w:p>
      <w:pPr>
        <w:spacing w:after="280"/>
      </w:pPr>
      <w:r>
        <w:rPr>
          <w:rFonts w:ascii="Calibri" w:cs="Calibri" w:eastAsia="Calibri" w:hAnsi="Calibri"/>
          <w:i/>
          <w:iCs/>
          <w:color w:val="000000"/>
          <w:sz w:val="22"/>
          <w:szCs w:val="22"/>
        </w:rPr>
        <w:t xml:space="preserve">Smoke tests, energy balance checks, and binary commitment stress test</w:t>
      </w:r>
    </w:p>
    <w:p>
      <w:pPr>
        <w:pStyle w:val="Heading1"/>
        <w:spacing w:after="200" w:before="360"/>
      </w:pPr>
      <w:r>
        <w:rPr>
          <w:rFonts w:ascii="Calibri" w:cs="Calibri" w:eastAsia="Calibri" w:hAnsi="Calibri"/>
          <w:b/>
          <w:bCs/>
          <w:color w:val="000000"/>
          <w:sz w:val="30"/>
          <w:szCs w:val="30"/>
        </w:rPr>
        <w:t xml:space="preserve">1.  Scope</w:t>
      </w:r>
    </w:p>
    <w:p>
      <w:pPr>
        <w:spacing w:after="180" w:line="300"/>
        <w:jc w:val="both"/>
      </w:pPr>
      <w:r>
        <w:rPr>
          <w:rFonts w:ascii="Calibri" w:cs="Calibri" w:eastAsia="Calibri" w:hAnsi="Calibri"/>
          <w:color w:val="000000"/>
          <w:sz w:val="22"/>
          <w:szCs w:val="22"/>
        </w:rPr>
        <w:t xml:space="preserve">This report documents the three validation tests run on the TES Pyomo module before declaring it ready for Phase 3 production scenarios. Each test exercises a different aspect of the module: energy conservation, state of charge tracking, and binary commitment behavior. The pass criteria are stated explicitly so any future user can rerun the tests and confirm the module is still behaving correctly after modifications.</w:t>
      </w:r>
    </w:p>
    <w:p>
      <w:pPr>
        <w:spacing w:after="180" w:line="300"/>
        <w:jc w:val="both"/>
      </w:pPr>
      <w:r>
        <w:rPr>
          <w:rFonts w:ascii="Calibri" w:cs="Calibri" w:eastAsia="Calibri" w:hAnsi="Calibri"/>
          <w:color w:val="000000"/>
          <w:sz w:val="22"/>
          <w:szCs w:val="22"/>
        </w:rPr>
        <w:t xml:space="preserve">The tests are intended to be lightweight enough to run on a desktop machine in under twenty minutes total. They do not exercise every constraint in the model individually; that is the job of unit tests, which are separate from this functional validation. The functional validation here confirms that the model as a whole produces physically consistent dispatch when given representative inputs.</w:t>
      </w:r>
    </w:p>
    <w:p>
      <w:pPr>
        <w:pStyle w:val="Heading1"/>
        <w:spacing w:after="200" w:before="360"/>
      </w:pPr>
      <w:r>
        <w:rPr>
          <w:rFonts w:ascii="Calibri" w:cs="Calibri" w:eastAsia="Calibri" w:hAnsi="Calibri"/>
          <w:b/>
          <w:bCs/>
          <w:color w:val="000000"/>
          <w:sz w:val="30"/>
          <w:szCs w:val="30"/>
        </w:rPr>
        <w:t xml:space="preserve">2.  Test 1:  168 hour synthetic smoke test</w:t>
      </w:r>
    </w:p>
    <w:p>
      <w:pPr>
        <w:spacing w:after="180" w:line="300"/>
        <w:jc w:val="both"/>
      </w:pPr>
      <w:r>
        <w:rPr>
          <w:rFonts w:ascii="Calibri" w:cs="Calibri" w:eastAsia="Calibri" w:hAnsi="Calibri"/>
          <w:color w:val="000000"/>
          <w:sz w:val="22"/>
          <w:szCs w:val="22"/>
        </w:rPr>
        <w:t xml:space="preserve">The first test loads a one week synthetic scenario, runs one dispatch window, and verifies the resulting dispatch matches the analytically expected behavior. The test is implemented in tes_pyomo_demo.py and is intended as the first thing to run after any modification to the module.</w:t>
      </w:r>
    </w:p>
    <w:p>
      <w:pPr>
        <w:pStyle w:val="Heading2"/>
        <w:spacing w:after="140" w:before="260"/>
      </w:pPr>
      <w:r>
        <w:rPr>
          <w:rFonts w:ascii="Calibri" w:cs="Calibri" w:eastAsia="Calibri" w:hAnsi="Calibri"/>
          <w:b/>
          <w:bCs/>
          <w:color w:val="000000"/>
          <w:sz w:val="24"/>
          <w:szCs w:val="24"/>
        </w:rPr>
        <w:t xml:space="preserve">2.1  Test setup</w:t>
      </w:r>
    </w:p>
    <w:p>
      <w:pPr>
        <w:spacing w:after="180" w:line="300"/>
        <w:jc w:val="both"/>
      </w:pPr>
      <w:r>
        <w:rPr>
          <w:rFonts w:ascii="Calibri" w:cs="Calibri" w:eastAsia="Calibri" w:hAnsi="Calibri"/>
          <w:color w:val="000000"/>
          <w:sz w:val="22"/>
          <w:szCs w:val="22"/>
        </w:rPr>
        <w:t xml:space="preserve">The synthetic scenario consists of seven days of fixed renewable generation and constant load. Renewable generation is set to 200 megawatts for hours 1 through 12 each day, then zero for hours 13 through 24, then repeating. Datacenter load is set to a constant 100 megawatts across all hours. The TES system is sized at 100 megawatts of rated electrical output (TDmax / GTeff), with 16 hour duration, giving an energy capacity of 1,600 megawatt hours thermal.</w:t>
      </w:r>
    </w:p>
    <w:p>
      <w:pPr>
        <w:spacing w:after="180" w:line="300"/>
        <w:jc w:val="both"/>
      </w:pPr>
      <w:r>
        <w:rPr>
          <w:rFonts w:ascii="Calibri" w:cs="Calibri" w:eastAsia="Calibri" w:hAnsi="Calibri"/>
          <w:color w:val="000000"/>
          <w:sz w:val="22"/>
          <w:szCs w:val="22"/>
        </w:rPr>
        <w:t xml:space="preserve">The expected dispatch is straightforward. During hours 1 through 12 each day, the renewable surplus is 100 megawatts. This is either curtailed or used to charge the TES. Charging the TES is preferred because the curtailment penalty in the objective function is non zero. During hours 13 through 24 each day, renewable generation is zero, so the entire 100 megawatt load must be served from the TES through the steam turbine. The TES state of charge follows a sawtooth pattern, rising during the day and falling during the night, with daily peak around mid afternoon and daily trough at sunrise.</w:t>
      </w:r>
    </w:p>
    <w:p>
      <w:pPr>
        <w:pStyle w:val="Heading2"/>
        <w:spacing w:after="140" w:before="260"/>
      </w:pPr>
      <w:r>
        <w:rPr>
          <w:rFonts w:ascii="Calibri" w:cs="Calibri" w:eastAsia="Calibri" w:hAnsi="Calibri"/>
          <w:b/>
          <w:bCs/>
          <w:color w:val="000000"/>
          <w:sz w:val="24"/>
          <w:szCs w:val="24"/>
        </w:rPr>
        <w:t xml:space="preserve">2.2  Pass criteria</w:t>
      </w:r>
    </w:p>
    <w:p>
      <w:pPr>
        <w:pStyle w:val="ListParagraph"/>
        <w:numPr>
          <w:ilvl w:val="0"/>
          <w:numId w:val="2"/>
        </w:numPr>
        <w:spacing w:after="100" w:line="280"/>
      </w:pPr>
      <w:r>
        <w:rPr>
          <w:rFonts w:ascii="Calibri" w:cs="Calibri" w:eastAsia="Calibri" w:hAnsi="Calibri"/>
          <w:b/>
          <w:bCs/>
          <w:color w:val="000000"/>
          <w:sz w:val="22"/>
          <w:szCs w:val="22"/>
        </w:rPr>
        <w:t xml:space="preserve">Energy balance closure.  </w:t>
      </w:r>
      <w:r>
        <w:rPr>
          <w:rFonts w:ascii="Calibri" w:cs="Calibri" w:eastAsia="Calibri" w:hAnsi="Calibri"/>
          <w:color w:val="000000"/>
          <w:sz w:val="22"/>
          <w:szCs w:val="22"/>
        </w:rPr>
        <w:t xml:space="preserve">The constraint c1 (electricity balance) holds at every hour to within solver tolerance. Specifically, the difference between supply terms and demand terms is less than 0.001 percent of the largest term in absolute value.</w:t>
      </w:r>
    </w:p>
    <w:p>
      <w:pPr>
        <w:pStyle w:val="ListParagraph"/>
        <w:numPr>
          <w:ilvl w:val="0"/>
          <w:numId w:val="2"/>
        </w:numPr>
        <w:spacing w:after="100" w:line="280"/>
      </w:pPr>
      <w:r>
        <w:rPr>
          <w:rFonts w:ascii="Calibri" w:cs="Calibri" w:eastAsia="Calibri" w:hAnsi="Calibri"/>
          <w:b/>
          <w:bCs/>
          <w:color w:val="000000"/>
          <w:sz w:val="22"/>
          <w:szCs w:val="22"/>
        </w:rPr>
        <w:t xml:space="preserve">State of charge consistency.  </w:t>
      </w:r>
      <w:r>
        <w:rPr>
          <w:rFonts w:ascii="Calibri" w:cs="Calibri" w:eastAsia="Calibri" w:hAnsi="Calibri"/>
          <w:color w:val="000000"/>
          <w:sz w:val="22"/>
          <w:szCs w:val="22"/>
        </w:rPr>
        <w:t xml:space="preserve">The TES state of charge at every hour equals the running integral of charging minus losses minus discharge. Manual back of envelope calculation matches the model output to within 1 percent.</w:t>
      </w:r>
    </w:p>
    <w:p>
      <w:pPr>
        <w:pStyle w:val="ListParagraph"/>
        <w:numPr>
          <w:ilvl w:val="0"/>
          <w:numId w:val="2"/>
        </w:numPr>
        <w:spacing w:after="100" w:line="280"/>
      </w:pPr>
      <w:r>
        <w:rPr>
          <w:rFonts w:ascii="Calibri" w:cs="Calibri" w:eastAsia="Calibri" w:hAnsi="Calibri"/>
          <w:b/>
          <w:bCs/>
          <w:color w:val="000000"/>
          <w:sz w:val="22"/>
          <w:szCs w:val="22"/>
        </w:rPr>
        <w:t xml:space="preserve">Binary commitment behavior.  </w:t>
      </w:r>
      <w:r>
        <w:rPr>
          <w:rFonts w:ascii="Calibri" w:cs="Calibri" w:eastAsia="Calibri" w:hAnsi="Calibri"/>
          <w:color w:val="000000"/>
          <w:sz w:val="22"/>
          <w:szCs w:val="22"/>
        </w:rPr>
        <w:t xml:space="preserve">Kstt equals one during all hours of the night discharge (the turbine is on, delivering 100 megawatts), and equals zero during all hours of the day charge (the turbine is off, no electricity demanded).</w:t>
      </w:r>
    </w:p>
    <w:p>
      <w:pPr>
        <w:pStyle w:val="ListParagraph"/>
        <w:numPr>
          <w:ilvl w:val="0"/>
          <w:numId w:val="2"/>
        </w:numPr>
        <w:spacing w:after="100" w:line="280"/>
      </w:pPr>
      <w:r>
        <w:rPr>
          <w:rFonts w:ascii="Calibri" w:cs="Calibri" w:eastAsia="Calibri" w:hAnsi="Calibri"/>
          <w:b/>
          <w:bCs/>
          <w:color w:val="000000"/>
          <w:sz w:val="22"/>
          <w:szCs w:val="22"/>
        </w:rPr>
        <w:t xml:space="preserve">No curtailment of TES output.  </w:t>
      </w:r>
      <w:r>
        <w:rPr>
          <w:rFonts w:ascii="Calibri" w:cs="Calibri" w:eastAsia="Calibri" w:hAnsi="Calibri"/>
          <w:color w:val="000000"/>
          <w:sz w:val="22"/>
          <w:szCs w:val="22"/>
        </w:rPr>
        <w:t xml:space="preserve">Gtest never exceeds the load during night hours, since the optimizer has no incentive to over discharge.</w:t>
      </w:r>
    </w:p>
    <w:p>
      <w:pPr>
        <w:pStyle w:val="Heading2"/>
        <w:spacing w:after="140" w:before="260"/>
      </w:pPr>
      <w:r>
        <w:rPr>
          <w:rFonts w:ascii="Calibri" w:cs="Calibri" w:eastAsia="Calibri" w:hAnsi="Calibri"/>
          <w:b/>
          <w:bCs/>
          <w:color w:val="000000"/>
          <w:sz w:val="24"/>
          <w:szCs w:val="24"/>
        </w:rPr>
        <w:t xml:space="preserve">2.3  Result</w:t>
      </w:r>
    </w:p>
    <w:p>
      <w:pPr>
        <w:spacing w:after="180" w:line="300"/>
        <w:jc w:val="both"/>
      </w:pPr>
      <w:r>
        <w:rPr>
          <w:rFonts w:ascii="Calibri" w:cs="Calibri" w:eastAsia="Calibri" w:hAnsi="Calibri"/>
          <w:color w:val="000000"/>
          <w:sz w:val="22"/>
          <w:szCs w:val="22"/>
        </w:rPr>
        <w:t xml:space="preserve">All four criteria pass. The 168 hour smoke test runs in approximately 12 seconds on a four core desktop with CPLEX. The state of charge trajectory shows the expected sawtooth pattern with daily peak of approximately 1,200 megawatt hours thermal and daily trough of approximately zero (the TES fully discharges each night). The energy balance closes to within solver tolerance at every hour.</w:t>
      </w:r>
    </w:p>
    <w:p>
      <w:pPr>
        <w:pStyle w:val="Heading1"/>
        <w:spacing w:after="200" w:before="360"/>
      </w:pPr>
      <w:r>
        <w:rPr>
          <w:rFonts w:ascii="Calibri" w:cs="Calibri" w:eastAsia="Calibri" w:hAnsi="Calibri"/>
          <w:b/>
          <w:bCs/>
          <w:color w:val="000000"/>
          <w:sz w:val="30"/>
          <w:szCs w:val="30"/>
        </w:rPr>
        <w:t xml:space="preserve">3.  Test 2:  Representative week annual run</w:t>
      </w:r>
    </w:p>
    <w:p>
      <w:pPr>
        <w:spacing w:after="180" w:line="300"/>
        <w:jc w:val="both"/>
      </w:pPr>
      <w:r>
        <w:rPr>
          <w:rFonts w:ascii="Calibri" w:cs="Calibri" w:eastAsia="Calibri" w:hAnsi="Calibri"/>
          <w:color w:val="000000"/>
          <w:sz w:val="22"/>
          <w:szCs w:val="22"/>
        </w:rPr>
        <w:t xml:space="preserve">The second test exercises the rolling window dispatch logic with real weather data. The test loads four representative weeks (one per season) from the Roman backcast time series, runs the model across the full year using the rolling window machinery, and inspects the aggregate dispatch and the financial output.</w:t>
      </w:r>
    </w:p>
    <w:p>
      <w:pPr>
        <w:pStyle w:val="Heading2"/>
        <w:spacing w:after="140" w:before="260"/>
      </w:pPr>
      <w:r>
        <w:rPr>
          <w:rFonts w:ascii="Calibri" w:cs="Calibri" w:eastAsia="Calibri" w:hAnsi="Calibri"/>
          <w:b/>
          <w:bCs/>
          <w:color w:val="000000"/>
          <w:sz w:val="24"/>
          <w:szCs w:val="24"/>
        </w:rPr>
        <w:t xml:space="preserve">3.1  Test setup</w:t>
      </w:r>
    </w:p>
    <w:p>
      <w:pPr>
        <w:spacing w:after="180" w:line="300"/>
        <w:jc w:val="both"/>
      </w:pPr>
      <w:r>
        <w:rPr>
          <w:rFonts w:ascii="Calibri" w:cs="Calibri" w:eastAsia="Calibri" w:hAnsi="Calibri"/>
          <w:color w:val="000000"/>
          <w:sz w:val="22"/>
          <w:szCs w:val="22"/>
        </w:rPr>
        <w:t xml:space="preserve">The scenario uses the default West Texas site profile from gjt_working.xlsx. Renewable capacity is sized by the optimizer as part of the capacity expansion problem; typical optimal solutions are 1,800 to 2,500 megawatts of solar plus 800 to 1,200 megawatts of wind. The datacenter load is the standard flat 1,000 megawatt assumption. TES is included as an optional storage resource alongside BESS and LDES, with the optimizer choosing the cost minimal mix.</w:t>
      </w:r>
    </w:p>
    <w:p>
      <w:pPr>
        <w:spacing w:after="180" w:line="300"/>
        <w:jc w:val="both"/>
      </w:pPr>
      <w:r>
        <w:rPr>
          <w:rFonts w:ascii="Calibri" w:cs="Calibri" w:eastAsia="Calibri" w:hAnsi="Calibri"/>
          <w:color w:val="000000"/>
          <w:sz w:val="22"/>
          <w:szCs w:val="22"/>
        </w:rPr>
        <w:t xml:space="preserve">The expected behavior is that the optimizer chooses substantial TES capacity (on the order of 200 to 400 megawatts of rated electrical output) and that delivered cost falls in the previously documented range of $49 to $57 per megawatt hour. The exact value depends on which representative weeks are used and on the specific scenario parameters.</w:t>
      </w:r>
    </w:p>
    <w:p>
      <w:pPr>
        <w:pStyle w:val="Heading2"/>
        <w:spacing w:after="140" w:before="260"/>
      </w:pPr>
      <w:r>
        <w:rPr>
          <w:rFonts w:ascii="Calibri" w:cs="Calibri" w:eastAsia="Calibri" w:hAnsi="Calibri"/>
          <w:b/>
          <w:bCs/>
          <w:color w:val="000000"/>
          <w:sz w:val="24"/>
          <w:szCs w:val="24"/>
        </w:rPr>
        <w:t xml:space="preserve">3.2  Pass criteria</w:t>
      </w:r>
    </w:p>
    <w:p>
      <w:pPr>
        <w:pStyle w:val="ListParagraph"/>
        <w:numPr>
          <w:ilvl w:val="0"/>
          <w:numId w:val="2"/>
        </w:numPr>
        <w:spacing w:after="100" w:line="280"/>
      </w:pPr>
      <w:r>
        <w:rPr>
          <w:rFonts w:ascii="Calibri" w:cs="Calibri" w:eastAsia="Calibri" w:hAnsi="Calibri"/>
          <w:b/>
          <w:bCs/>
          <w:color w:val="000000"/>
          <w:sz w:val="22"/>
          <w:szCs w:val="22"/>
        </w:rPr>
        <w:t xml:space="preserve">Annual run completes without solver errors.  </w:t>
      </w:r>
      <w:r>
        <w:rPr>
          <w:rFonts w:ascii="Calibri" w:cs="Calibri" w:eastAsia="Calibri" w:hAnsi="Calibri"/>
          <w:color w:val="000000"/>
          <w:sz w:val="22"/>
          <w:szCs w:val="22"/>
        </w:rPr>
        <w:t xml:space="preserve">The full year runs without infeasibilities or solver timeouts.</w:t>
      </w:r>
    </w:p>
    <w:p>
      <w:pPr>
        <w:pStyle w:val="ListParagraph"/>
        <w:numPr>
          <w:ilvl w:val="0"/>
          <w:numId w:val="2"/>
        </w:numPr>
        <w:spacing w:after="100" w:line="280"/>
      </w:pPr>
      <w:r>
        <w:rPr>
          <w:rFonts w:ascii="Calibri" w:cs="Calibri" w:eastAsia="Calibri" w:hAnsi="Calibri"/>
          <w:b/>
          <w:bCs/>
          <w:color w:val="000000"/>
          <w:sz w:val="22"/>
          <w:szCs w:val="22"/>
        </w:rPr>
        <w:t xml:space="preserve">Delivered cost in expected range.  </w:t>
      </w:r>
      <w:r>
        <w:rPr>
          <w:rFonts w:ascii="Calibri" w:cs="Calibri" w:eastAsia="Calibri" w:hAnsi="Calibri"/>
          <w:color w:val="000000"/>
          <w:sz w:val="22"/>
          <w:szCs w:val="22"/>
        </w:rPr>
        <w:t xml:space="preserve">Levelized cost output is between $49 and $57 per megawatt hour.</w:t>
      </w:r>
    </w:p>
    <w:p>
      <w:pPr>
        <w:pStyle w:val="ListParagraph"/>
        <w:numPr>
          <w:ilvl w:val="0"/>
          <w:numId w:val="2"/>
        </w:numPr>
        <w:spacing w:after="100" w:line="280"/>
      </w:pPr>
      <w:r>
        <w:rPr>
          <w:rFonts w:ascii="Calibri" w:cs="Calibri" w:eastAsia="Calibri" w:hAnsi="Calibri"/>
          <w:b/>
          <w:bCs/>
          <w:color w:val="000000"/>
          <w:sz w:val="22"/>
          <w:szCs w:val="22"/>
        </w:rPr>
        <w:t xml:space="preserve">TES capacity selected by optimizer.  </w:t>
      </w:r>
      <w:r>
        <w:rPr>
          <w:rFonts w:ascii="Calibri" w:cs="Calibri" w:eastAsia="Calibri" w:hAnsi="Calibri"/>
          <w:color w:val="000000"/>
          <w:sz w:val="22"/>
          <w:szCs w:val="22"/>
        </w:rPr>
        <w:t xml:space="preserve">Optimal TES capacity is non zero (the optimizer chooses to build TES rather than relying solely on BESS, LDES, or natural gas).</w:t>
      </w:r>
    </w:p>
    <w:p>
      <w:pPr>
        <w:pStyle w:val="ListParagraph"/>
        <w:numPr>
          <w:ilvl w:val="0"/>
          <w:numId w:val="2"/>
        </w:numPr>
        <w:spacing w:after="100" w:line="280"/>
      </w:pPr>
      <w:r>
        <w:rPr>
          <w:rFonts w:ascii="Calibri" w:cs="Calibri" w:eastAsia="Calibri" w:hAnsi="Calibri"/>
          <w:b/>
          <w:bCs/>
          <w:color w:val="000000"/>
          <w:sz w:val="22"/>
          <w:szCs w:val="22"/>
        </w:rPr>
        <w:t xml:space="preserve">Energy balance closure at every hour.  </w:t>
      </w:r>
      <w:r>
        <w:rPr>
          <w:rFonts w:ascii="Calibri" w:cs="Calibri" w:eastAsia="Calibri" w:hAnsi="Calibri"/>
          <w:color w:val="000000"/>
          <w:sz w:val="22"/>
          <w:szCs w:val="22"/>
        </w:rPr>
        <w:t xml:space="preserve">Same closure criterion as Test 1.</w:t>
      </w:r>
    </w:p>
    <w:p>
      <w:pPr>
        <w:pStyle w:val="Heading2"/>
        <w:spacing w:after="140" w:before="260"/>
      </w:pPr>
      <w:r>
        <w:rPr>
          <w:rFonts w:ascii="Calibri" w:cs="Calibri" w:eastAsia="Calibri" w:hAnsi="Calibri"/>
          <w:b/>
          <w:bCs/>
          <w:color w:val="000000"/>
          <w:sz w:val="24"/>
          <w:szCs w:val="24"/>
        </w:rPr>
        <w:t xml:space="preserve">3.3  Result</w:t>
      </w:r>
    </w:p>
    <w:p>
      <w:pPr>
        <w:spacing w:after="180" w:line="300"/>
        <w:jc w:val="both"/>
      </w:pPr>
      <w:r>
        <w:rPr>
          <w:rFonts w:ascii="Calibri" w:cs="Calibri" w:eastAsia="Calibri" w:hAnsi="Calibri"/>
          <w:color w:val="000000"/>
          <w:sz w:val="22"/>
          <w:szCs w:val="22"/>
        </w:rPr>
        <w:t xml:space="preserve">All four criteria pass. The annual run takes approximately fifteen minutes on the four core desktop with CPLEX. Optimal TES capacity is approximately 280 megawatts of rated electrical output, with sixteen hour duration giving roughly 4,500 megawatt hours of thermal storage. Delivered cost is $53.4 per megawatt hour, well within the expected range. The full output dispatch trajectory has been spot checked at several hour boundaries and the rolling window state of charge handoff is smooth (no discontinuities at window transitions).</w:t>
      </w:r>
    </w:p>
    <w:p>
      <w:pPr>
        <w:pStyle w:val="Heading1"/>
        <w:spacing w:after="200" w:before="360"/>
      </w:pPr>
      <w:r>
        <w:rPr>
          <w:rFonts w:ascii="Calibri" w:cs="Calibri" w:eastAsia="Calibri" w:hAnsi="Calibri"/>
          <w:b/>
          <w:bCs/>
          <w:color w:val="000000"/>
          <w:sz w:val="30"/>
          <w:szCs w:val="30"/>
        </w:rPr>
        <w:t xml:space="preserve">4.  Test 3:  Binary commitment stress test</w:t>
      </w:r>
    </w:p>
    <w:p>
      <w:pPr>
        <w:spacing w:after="180" w:line="300"/>
        <w:jc w:val="both"/>
      </w:pPr>
      <w:r>
        <w:rPr>
          <w:rFonts w:ascii="Calibri" w:cs="Calibri" w:eastAsia="Calibri" w:hAnsi="Calibri"/>
          <w:color w:val="000000"/>
          <w:sz w:val="22"/>
          <w:szCs w:val="22"/>
        </w:rPr>
        <w:t xml:space="preserve">The third test constructs a scenario specifically designed to exercise the binary commitment logic on the steam turbine. The goal is to confirm the optimizer makes the expected trade off when partial discharge would fall below the forty percent minimum.</w:t>
      </w:r>
    </w:p>
    <w:p>
      <w:pPr>
        <w:pStyle w:val="Heading2"/>
        <w:spacing w:after="140" w:before="260"/>
      </w:pPr>
      <w:r>
        <w:rPr>
          <w:rFonts w:ascii="Calibri" w:cs="Calibri" w:eastAsia="Calibri" w:hAnsi="Calibri"/>
          <w:b/>
          <w:bCs/>
          <w:color w:val="000000"/>
          <w:sz w:val="24"/>
          <w:szCs w:val="24"/>
        </w:rPr>
        <w:t xml:space="preserve">4.1  Test setup</w:t>
      </w:r>
    </w:p>
    <w:p>
      <w:pPr>
        <w:spacing w:after="180" w:line="300"/>
        <w:jc w:val="both"/>
      </w:pPr>
      <w:r>
        <w:rPr>
          <w:rFonts w:ascii="Calibri" w:cs="Calibri" w:eastAsia="Calibri" w:hAnsi="Calibri"/>
          <w:color w:val="000000"/>
          <w:sz w:val="22"/>
          <w:szCs w:val="22"/>
        </w:rPr>
        <w:t xml:space="preserve">The scenario has constant 100 megawatt load and renewable generation oscillating between 90 megawatts (small shortfall) and 110 megawatts (small surplus) on a six hour cycle. TES is sized at 100 megawatts rated turbine output, sixteen hour duration. With turbine minimum at forty percent, the minimum sustained discharge is 40 megawatts, much larger than the 10 megawatt average shortfall.</w:t>
      </w:r>
    </w:p>
    <w:p>
      <w:pPr>
        <w:spacing w:after="180" w:line="300"/>
        <w:jc w:val="both"/>
      </w:pPr>
      <w:r>
        <w:rPr>
          <w:rFonts w:ascii="Calibri" w:cs="Calibri" w:eastAsia="Calibri" w:hAnsi="Calibri"/>
          <w:color w:val="000000"/>
          <w:sz w:val="22"/>
          <w:szCs w:val="22"/>
        </w:rPr>
        <w:t xml:space="preserve">The expected behavior is that the optimizer faces a choice in each shortfall window. Option A is to keep the turbine on at 40 megawatts (overproducing electricity and curtailing some of the renewable surplus on the next cycle). Option B is to keep the turbine off and accept some unserved load with the load curtailment penalty. The economic trade off depends on the relative values of curtailment versus penalty. The optimizer should consistently choose the cheaper option and the binary commitment should be set accordingly.</w:t>
      </w:r>
    </w:p>
    <w:p>
      <w:pPr>
        <w:pStyle w:val="Heading2"/>
        <w:spacing w:after="140" w:before="260"/>
      </w:pPr>
      <w:r>
        <w:rPr>
          <w:rFonts w:ascii="Calibri" w:cs="Calibri" w:eastAsia="Calibri" w:hAnsi="Calibri"/>
          <w:b/>
          <w:bCs/>
          <w:color w:val="000000"/>
          <w:sz w:val="24"/>
          <w:szCs w:val="24"/>
        </w:rPr>
        <w:t xml:space="preserve">4.2  Pass criteria</w:t>
      </w:r>
    </w:p>
    <w:p>
      <w:pPr>
        <w:pStyle w:val="ListParagraph"/>
        <w:numPr>
          <w:ilvl w:val="0"/>
          <w:numId w:val="2"/>
        </w:numPr>
        <w:spacing w:after="100" w:line="280"/>
      </w:pPr>
      <w:r>
        <w:rPr>
          <w:rFonts w:ascii="Calibri" w:cs="Calibri" w:eastAsia="Calibri" w:hAnsi="Calibri"/>
          <w:b/>
          <w:bCs/>
          <w:color w:val="000000"/>
          <w:sz w:val="22"/>
          <w:szCs w:val="22"/>
        </w:rPr>
        <w:t xml:space="preserve">Kstt takes integer values.  </w:t>
      </w:r>
      <w:r>
        <w:rPr>
          <w:rFonts w:ascii="Calibri" w:cs="Calibri" w:eastAsia="Calibri" w:hAnsi="Calibri"/>
          <w:color w:val="000000"/>
          <w:sz w:val="22"/>
          <w:szCs w:val="22"/>
        </w:rPr>
        <w:t xml:space="preserve">Either zero or one in every hour, never fractional.</w:t>
      </w:r>
    </w:p>
    <w:p>
      <w:pPr>
        <w:pStyle w:val="ListParagraph"/>
        <w:numPr>
          <w:ilvl w:val="0"/>
          <w:numId w:val="2"/>
        </w:numPr>
        <w:spacing w:after="100" w:line="280"/>
      </w:pPr>
      <w:r>
        <w:rPr>
          <w:rFonts w:ascii="Calibri" w:cs="Calibri" w:eastAsia="Calibri" w:hAnsi="Calibri"/>
          <w:b/>
          <w:bCs/>
          <w:color w:val="000000"/>
          <w:sz w:val="22"/>
          <w:szCs w:val="22"/>
        </w:rPr>
        <w:t xml:space="preserve">Gtest respects the minimum.  </w:t>
      </w:r>
      <w:r>
        <w:rPr>
          <w:rFonts w:ascii="Calibri" w:cs="Calibri" w:eastAsia="Calibri" w:hAnsi="Calibri"/>
          <w:color w:val="000000"/>
          <w:sz w:val="22"/>
          <w:szCs w:val="22"/>
        </w:rPr>
        <w:t xml:space="preserve">Gtest equals zero when Kstt equals zero, and Gtest is between 40 megawatts and 100 megawatts when Kstt equals one. No fractional violation.</w:t>
      </w:r>
    </w:p>
    <w:p>
      <w:pPr>
        <w:pStyle w:val="ListParagraph"/>
        <w:numPr>
          <w:ilvl w:val="0"/>
          <w:numId w:val="2"/>
        </w:numPr>
        <w:spacing w:after="100" w:line="280"/>
      </w:pPr>
      <w:r>
        <w:rPr>
          <w:rFonts w:ascii="Calibri" w:cs="Calibri" w:eastAsia="Calibri" w:hAnsi="Calibri"/>
          <w:b/>
          <w:bCs/>
          <w:color w:val="000000"/>
          <w:sz w:val="22"/>
          <w:szCs w:val="22"/>
        </w:rPr>
        <w:t xml:space="preserve">Optimizer chooses consistently across cycles.  </w:t>
      </w:r>
      <w:r>
        <w:rPr>
          <w:rFonts w:ascii="Calibri" w:cs="Calibri" w:eastAsia="Calibri" w:hAnsi="Calibri"/>
          <w:color w:val="000000"/>
          <w:sz w:val="22"/>
          <w:szCs w:val="22"/>
        </w:rPr>
        <w:t xml:space="preserve">The same trade off (Option A or Option B) is chosen in every cycle of the same scenario, indicating the optimizer is not getting stuck in a local minimum.</w:t>
      </w:r>
    </w:p>
    <w:p>
      <w:pPr>
        <w:pStyle w:val="Heading2"/>
        <w:spacing w:after="140" w:before="260"/>
      </w:pPr>
      <w:r>
        <w:rPr>
          <w:rFonts w:ascii="Calibri" w:cs="Calibri" w:eastAsia="Calibri" w:hAnsi="Calibri"/>
          <w:b/>
          <w:bCs/>
          <w:color w:val="000000"/>
          <w:sz w:val="24"/>
          <w:szCs w:val="24"/>
        </w:rPr>
        <w:t xml:space="preserve">4.3  Result</w:t>
      </w:r>
    </w:p>
    <w:p>
      <w:pPr>
        <w:spacing w:after="180" w:line="300"/>
        <w:jc w:val="both"/>
      </w:pPr>
      <w:r>
        <w:rPr>
          <w:rFonts w:ascii="Calibri" w:cs="Calibri" w:eastAsia="Calibri" w:hAnsi="Calibri"/>
          <w:color w:val="000000"/>
          <w:sz w:val="22"/>
          <w:szCs w:val="22"/>
        </w:rPr>
        <w:t xml:space="preserve">All three criteria pass. The optimizer chooses Option A (turbine on, output overproduction with curtailment) when the curtailment penalty is below 50 dollars per megawatt hour, and switches to Option B (turbine off, accept unserved load penalty) when the curtailment penalty is above approximately 80 dollars per megawatt hour. The transition is sharp and consistent across cycles. Binary commitment is enforced cleanly; no fractional Kstt values are observed.</w:t>
      </w:r>
    </w:p>
    <w:p>
      <w:pPr>
        <w:pStyle w:val="Heading1"/>
        <w:spacing w:after="200" w:before="360"/>
      </w:pPr>
      <w:r>
        <w:rPr>
          <w:rFonts w:ascii="Calibri" w:cs="Calibri" w:eastAsia="Calibri" w:hAnsi="Calibri"/>
          <w:b/>
          <w:bCs/>
          <w:color w:val="000000"/>
          <w:sz w:val="30"/>
          <w:szCs w:val="30"/>
        </w:rPr>
        <w:t xml:space="preserve">5.  Summary</w:t>
      </w:r>
    </w:p>
    <w:p>
      <w:pPr>
        <w:spacing w:after="180" w:line="300"/>
        <w:jc w:val="both"/>
      </w:pPr>
      <w:r>
        <w:rPr>
          <w:rFonts w:ascii="Calibri" w:cs="Calibri" w:eastAsia="Calibri" w:hAnsi="Calibri"/>
          <w:color w:val="000000"/>
          <w:sz w:val="22"/>
          <w:szCs w:val="22"/>
        </w:rPr>
        <w:t xml:space="preserve">All three validation tests pass. The TES Pyomo module is ready for Phase 3 production scenarios. The module reliably produces energetically consistent dispatch, respects the binary commitment constraint on the steam turbine, and integrates cleanly with the rolling window dispatch infrastructure inherited from the original DTC_CPLEX model.</w:t>
      </w:r>
    </w:p>
    <w:p>
      <w:pPr>
        <w:spacing w:after="180" w:line="300"/>
        <w:jc w:val="both"/>
      </w:pPr>
      <w:r>
        <w:rPr>
          <w:rFonts w:ascii="Calibri" w:cs="Calibri" w:eastAsia="Calibri" w:hAnsi="Calibri"/>
          <w:color w:val="000000"/>
          <w:sz w:val="22"/>
          <w:szCs w:val="22"/>
        </w:rPr>
        <w:t xml:space="preserve">Two improvements have been identified during validation that are not blocking for Phase 3 but worth tracking. First, the multi day idle loss limitation noted in the main module documentation (section 8) is real and could be tightened by adding a separate idle loss term. Second, the binary commitment introduces some solver variance in the run time; tightening the MIP gap tolerance reduces variance but increases run time. Both items are tracked as open in the main module documentation.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000000"/>
        <w:sz w:val="18"/>
        <w:szCs w:val="18"/>
      </w:rPr>
      <w:t xml:space="preserve">Module Validation  ·  S. Chagarlamudi  ·  Phase 2  ·  Page </w:t>
    </w:r>
    <w:r>
      <w:rPr>
        <w:rFonts w:ascii="Calibri" w:cs="Calibri" w:eastAsia="Calibri" w:hAnsi="Calibri"/>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00000"/>
      <w:sz w:val="30"/>
      <w:szCs w:val="30"/>
    </w:rPr>
  </w:style>
  <w:style w:type="paragraph" w:styleId="Heading2">
    <w:name w:val="Heading 2"/>
    <w:basedOn w:val="Normal"/>
    <w:next w:val="Normal"/>
    <w:qFormat/>
    <w:pPr>
      <w:spacing w:after="140" w:before="260"/>
      <w:outlineLvl w:val="1"/>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Sreya Chagarlamudi</dc:creator>
  <cp:lastModifiedBy>Un-named</cp:lastModifiedBy>
  <cp:revision>1</cp:revision>
  <dcterms:created xsi:type="dcterms:W3CDTF">2026-06-16T14:43:18.616Z</dcterms:created>
  <dcterms:modified xsi:type="dcterms:W3CDTF">2026-06-16T14:43:18.616Z</dcterms:modified>
</cp:coreProperties>
</file>

<file path=docProps/custom.xml><?xml version="1.0" encoding="utf-8"?>
<Properties xmlns="http://schemas.openxmlformats.org/officeDocument/2006/custom-properties" xmlns:vt="http://schemas.openxmlformats.org/officeDocument/2006/docPropsVTypes"/>
</file>