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An externally-validated stromal/cancer-associated-fibroblast programme underlies gastric-cancer prognosis across three independent cohorts</w:t>
      </w:r>
    </w:p>
    <w:p>
      <w:pPr>
        <w:pStyle w:val="Compact"/>
        <w:numPr>
          <w:ilvl w:val="0"/>
          <w:numId w:val="1001"/>
        </w:numPr>
      </w:pPr>
      <w:r>
        <w:t xml:space="preserve">A 25-gene LASSO-Cox signature is prognostic but modest and honestly reported (nested cross-validation C = 0.61; not significant on meta-analysis)</w:t>
      </w:r>
    </w:p>
    <w:p>
      <w:pPr>
        <w:pStyle w:val="Compact"/>
        <w:numPr>
          <w:ilvl w:val="0"/>
          <w:numId w:val="1001"/>
        </w:numPr>
      </w:pPr>
      <w:r>
        <w:t xml:space="preserve">The prognostic co-expression module is strongly preserved externally (Zsummary 15.9–17.1) and localises to fibroblasts in single-cell data</w:t>
      </w:r>
    </w:p>
    <w:p>
      <w:pPr>
        <w:pStyle w:val="Compact"/>
        <w:numPr>
          <w:ilvl w:val="0"/>
          <w:numId w:val="1001"/>
        </w:numPr>
      </w:pPr>
      <w:r>
        <w:t xml:space="preserve">Apparent tumour-microbiome “dysbiosis” is a sequencing-batch artefact; Mendelian randomisation finds no causal microbial effect on gastric-cancer risk</w:t>
      </w:r>
    </w:p>
    <w:bookmarkEnd w:id="9"/>
    <w:sectPr w:rsidR="00FC693F" w:rsidRPr="0006063C" w:rsidSect="00034616">
      <w:pgSz w:h="16834" w:w="11909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360" w:lineRule="auto"/>
    </w:pPr>
    <w:rPr>
      <w:rFonts w:ascii="Times New Roman" w:cs="Times New Roman" w:eastAsia="Times New Roman" w:hAnsi="Times New Roman"/>
      <w:sz w:val="4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8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  <w:sz w:val="4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80" w:line="240" w:lineRule="auto"/>
      <w:contextualSpacing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/>
      <w:iCs/>
      <w:color w:themeColor="accent1" w:val="4F81BD"/>
      <w:spacing w:val="15"/>
      <w:sz w:val="4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cs="Times New Roman" w:eastAsia="Times New Roman" w:hAnsi="Times New Roman"/>
      <w:b w:val="0"/>
      <w:sz w:val="4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cs="Times New Roman" w:eastAsia="Times New Roman" w:hAnsi="Times New Roman"/>
      <w:b w:val="0"/>
      <w:bCs/>
      <w:color w:themeColor="accent1" w:val="4F81BD"/>
      <w:sz w:val="4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sz w:val="4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2026-08-04T06:37:18Z</dcterms:created>
  <dcterms:modified xsi:type="dcterms:W3CDTF">2026-08-04T06:37:18Z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