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t xml:space="preserve">A multi-omics analysis of gastric cancer identifies an externally-validated stromal/fibroblast prognostic programme, with cautionary tumour-microbiome and Mendelian-randomisation assessments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A stromal/fibroblast prognostic programme in gastric cancer</w:t>
      </w:r>
    </w:p>
    <w:p>
      <w:pPr>
        <w:pStyle w:val="BodyText"/>
      </w:pPr>
      <w:r>
        <w:t xml:space="preserve">⟦PLACEHOLDER — AUTHOR NAMES⟧ (e.g. First Author¹, Second Author¹, …)</w:t>
      </w:r>
    </w:p>
    <w:p>
      <w:pPr>
        <w:pStyle w:val="BodyText"/>
      </w:pPr>
      <w:r>
        <w:rPr>
          <w:b/>
          <w:bCs/>
        </w:rPr>
        <w:t xml:space="preserve">Affiliation</w:t>
      </w:r>
    </w:p>
    <w:p>
      <w:pPr>
        <w:pStyle w:val="BodyText"/>
      </w:pPr>
      <w:r>
        <w:t xml:space="preserve">¹School of Chemical and Biotechnology,</w:t>
      </w:r>
      <w:r>
        <w:br/>
      </w:r>
      <w:r>
        <w:t xml:space="preserve">SASTRA Deemed to be University, Thirumalaisamudram, Thanjavur,</w:t>
      </w:r>
      <w:r>
        <w:br/>
      </w:r>
      <w:r>
        <w:t xml:space="preserve">Tamil Nadu 613401, India</w:t>
      </w:r>
    </w:p>
    <w:p>
      <w:pPr>
        <w:pStyle w:val="BodyText"/>
      </w:pPr>
      <w:r>
        <w:rPr>
          <w:b/>
          <w:bCs/>
        </w:rPr>
        <w:t xml:space="preserve">*Corresponding Author</w:t>
      </w:r>
    </w:p>
    <w:p>
      <w:pPr>
        <w:pStyle w:val="BodyText"/>
      </w:pPr>
      <w:r>
        <w:t xml:space="preserve">⟦PLACEHOLDER — corresponding author name⟧</w:t>
      </w:r>
      <w:r>
        <w:br/>
      </w:r>
      <w:r>
        <w:t xml:space="preserve">⟦PLACEHOLDER — designation⟧</w:t>
      </w:r>
      <w:r>
        <w:br/>
      </w:r>
      <w:r>
        <w:t xml:space="preserve">⟦PLACEHOLDER — email⟧</w:t>
      </w:r>
      <w:r>
        <w:br/>
      </w:r>
      <w:r>
        <w:t xml:space="preserve">School of Chemical and Biotechnology,</w:t>
      </w:r>
      <w:r>
        <w:br/>
      </w:r>
      <w:r>
        <w:t xml:space="preserve">SASTRA Deemed to be University, Thirumalaisamudram, Thanjavur,</w:t>
      </w:r>
      <w:r>
        <w:br/>
      </w:r>
      <w:r>
        <w:t xml:space="preserve">Tamil Nadu 613401, India</w:t>
      </w:r>
    </w:p>
    <w:p>
      <w:pPr>
        <w:pStyle w:val="BodyText"/>
      </w:pPr>
      <w:r>
        <w:rPr>
          <w:b/>
          <w:bCs/>
        </w:rPr>
        <w:t xml:space="preserve">ORCID iDs</w:t>
      </w:r>
    </w:p>
    <w:p>
      <w:pPr>
        <w:pStyle w:val="BodyText"/>
      </w:pPr>
      <w:r>
        <w:t xml:space="preserve">⟦PLACEHOLDER — ORCID iD per author⟧</w:t>
      </w:r>
    </w:p>
    <w:bookmarkEnd w:id="9"/>
    <w:sectPr w:rsidR="00FC693F" w:rsidRPr="0006063C" w:rsidSect="00034616">
      <w:pgSz w:h="16834" w:w="11909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360" w:lineRule="auto"/>
    </w:pPr>
    <w:rPr>
      <w:rFonts w:ascii="Times New Roman" w:cs="Times New Roman" w:eastAsia="Times New Roman" w:hAnsi="Times New Roman"/>
      <w:sz w:val="4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8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4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8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iCs/>
      <w:color w:val="000000"/>
      <w:sz w:val="4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before="280" w:line="240" w:lineRule="auto"/>
      <w:contextualSpacing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i/>
      <w:iCs/>
      <w:color w:themeColor="accent1" w:val="4F81BD"/>
      <w:spacing w:val="15"/>
      <w:sz w:val="4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cs="Times New Roman" w:eastAsia="Times New Roman" w:hAnsi="Times New Roman"/>
      <w:b w:val="0"/>
      <w:sz w:val="4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cs="Times New Roman" w:eastAsia="Times New Roman" w:hAnsi="Times New Roman"/>
      <w:b w:val="0"/>
      <w:bCs/>
      <w:color w:themeColor="accent1" w:val="4F81BD"/>
      <w:sz w:val="4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sz w:val="4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2026-08-04T06:39:02Z</dcterms:created>
  <dcterms:modified xsi:type="dcterms:W3CDTF">2026-08-04T06:39:02Z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