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s"/>
    <w:p>
      <w:pPr>
        <w:pStyle w:val="Heading1"/>
      </w:pPr>
      <w:r>
        <w:t xml:space="preserve">Tables</w:t>
      </w:r>
    </w:p>
    <w:p>
      <w:pPr>
        <w:pStyle w:val="FirstParagraph"/>
      </w:pPr>
      <w:r>
        <w:rPr>
          <w:b/>
          <w:bCs/>
        </w:rPr>
        <w:t xml:space="preserve">Table 1. Study cohorts and prognostic performance.</w:t>
      </w:r>
      <w:r>
        <w:t xml:space="preserve"> </w:t>
      </w:r>
      <w:r>
        <w:t xml:space="preserve">Discovery and external-validation cohorts for the transcriptomic prognostic signature. Two distinct effect measures are reported and must not be conflated: the median-split high-versus-low hazard ratio (unadjusted), and the age/stage-adjusted hazard ratio per standard deviation of the continuous risk score — the latter is the estimate carried into the meta-analysis.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Cohort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Harrell C</w:t>
            </w:r>
          </w:p>
        </w:tc>
        <w:tc>
          <w:tcPr/>
          <w:p>
            <w:pPr>
              <w:pStyle w:val="Compact"/>
            </w:pPr>
            <w:r>
              <w:t xml:space="preserve">HR high-vs-low, median split (95% CI)</w:t>
            </w:r>
          </w:p>
        </w:tc>
        <w:tc>
          <w:tcPr/>
          <w:p>
            <w:pPr>
              <w:pStyle w:val="Compact"/>
            </w:pPr>
            <w:r>
              <w:t xml:space="preserve">Age/stage-adjusted HR per SD (95% 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TCGA-STAD</w:t>
            </w:r>
          </w:p>
        </w:tc>
        <w:tc>
          <w:tcPr/>
          <w:p>
            <w:pPr>
              <w:pStyle w:val="Compact"/>
            </w:pPr>
            <w:r>
              <w:t xml:space="preserve">Discovery (training)</w:t>
            </w:r>
          </w:p>
        </w:tc>
        <w:tc>
          <w:tcPr/>
          <w:p>
            <w:pPr>
              <w:pStyle w:val="Compact"/>
            </w:pPr>
            <w:r>
              <w:t xml:space="preserve">383</w:t>
            </w:r>
          </w:p>
        </w:tc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0.61 (nested-CV)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GSE62254 (ACRG)</w:t>
            </w:r>
          </w:p>
        </w:tc>
        <w:tc>
          <w:tcPr/>
          <w:p>
            <w:pPr>
              <w:pStyle w:val="Compact"/>
            </w:pPr>
            <w:r>
              <w:t xml:space="preserve">External validation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1.90 (1.37–2.62)</w:t>
            </w:r>
          </w:p>
        </w:tc>
        <w:tc>
          <w:tcPr/>
          <w:p>
            <w:pPr>
              <w:pStyle w:val="Compact"/>
            </w:pPr>
            <w:r>
              <w:t xml:space="preserve">1.30 (1.10–1.54)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GSE15459</w:t>
            </w:r>
          </w:p>
        </w:tc>
        <w:tc>
          <w:tcPr/>
          <w:p>
            <w:pPr>
              <w:pStyle w:val="Compact"/>
            </w:pPr>
            <w:r>
              <w:t xml:space="preserve">External validation</w:t>
            </w:r>
          </w:p>
        </w:tc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1.68 (1.11–2.54)</w:t>
            </w:r>
          </w:p>
        </w:tc>
        <w:tc>
          <w:tcPr/>
          <w:p>
            <w:pPr>
              <w:pStyle w:val="Compact"/>
            </w:pPr>
            <w:r>
              <w:t xml:space="preserve">1.20 (0.97–1.48)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GSE84437</w:t>
            </w:r>
          </w:p>
        </w:tc>
        <w:tc>
          <w:tcPr/>
          <w:p>
            <w:pPr>
              <w:pStyle w:val="Compact"/>
            </w:pPr>
            <w:r>
              <w:t xml:space="preserve">External validation</w:t>
            </w:r>
          </w:p>
        </w:tc>
        <w:tc>
          <w:tcPr/>
          <w:p>
            <w:pPr>
              <w:pStyle w:val="Compact"/>
            </w:pPr>
            <w:r>
              <w:t xml:space="preserve">431</w:t>
            </w:r>
          </w:p>
        </w:tc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0.53</w:t>
            </w:r>
          </w:p>
        </w:tc>
        <w:tc>
          <w:tcPr/>
          <w:p>
            <w:pPr>
              <w:pStyle w:val="Compact"/>
            </w:pPr>
            <w:r>
              <w:t xml:space="preserve">1.11 (0.84–1.46)</w:t>
            </w:r>
          </w:p>
        </w:tc>
        <w:tc>
          <w:tcPr/>
          <w:p>
            <w:pPr>
              <w:pStyle w:val="Compact"/>
            </w:pPr>
            <w:r>
              <w:t xml:space="preserve">1.11 (0.97–1.27)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Pooled (Hartung–Knapp, per SD)</w:t>
            </w:r>
          </w:p>
        </w:tc>
        <w:tc>
          <w:tcPr/>
          <w:p>
            <w:pPr>
              <w:pStyle w:val="Compact"/>
            </w:pPr>
            <w:r>
              <w:t xml:space="preserve">Meta-analysis</w:t>
            </w:r>
          </w:p>
        </w:tc>
        <w:tc>
          <w:tcPr/>
          <w:p>
            <w:pPr>
              <w:pStyle w:val="Compact"/>
            </w:pPr>
            <w:r>
              <w:t xml:space="preserve">922</w:t>
            </w:r>
          </w:p>
        </w:tc>
        <w:tc>
          <w:tcPr/>
          <w:p>
            <w:pPr>
              <w:pStyle w:val="Compact"/>
            </w:pPr>
            <w:r>
              <w:t xml:space="preserve">454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1.19 (0.96–1.47), p=0.073, not significant</w:t>
            </w:r>
          </w:p>
        </w:tc>
      </w:tr>
    </w:tbl>
    <w:p>
      <w:pPr>
        <w:pStyle w:val="BodyText"/>
      </w:pPr>
      <w:r>
        <w:rPr>
          <w:i/>
          <w:iCs/>
        </w:rPr>
        <w:t xml:space="preserve">CV, cross-validation; HR, hazard ratio; SD, standard deviation of the risk score; CI, confidence interval. The TCGA C-index is the leakage-free nested cross-validation estimate (apparent C 0.72). GSE84437 adjustment used age + T-stage (full TNM stage was unavailable in that series). The pooled estimate is a REML random-effects meta-analysis of the age/stage-adjusted per-SD log-hazard ratios with the Hartung–Knapp adjustment (I²=19.2%); its confidence interval includes 1, so the pooled effect is not statistically significant.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2026-07-27T10:39:41Z</dcterms:created>
  <dcterms:modified xsi:type="dcterms:W3CDTF">2026-07-27T10:39:41Z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