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b00c357c98d403138ff31e4b96e1e28f592dde"/>
    <w:p>
      <w:pPr>
        <w:pStyle w:val="Heading1"/>
      </w:pPr>
      <w:r>
        <w:t xml:space="preserve">A multi-omics analysis of gastric cancer identifies an externally-validated stromal/fibroblast prognostic programme, with cautionary tumour-microbiome and Mendelian-randomisation assessments</w: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tumour–node–metastasis stage remains limited, and tumour-microbiome</w:t>
      </w:r>
      <w:r>
        <w:t xml:space="preserve"> </w:t>
      </w:r>
      <w:r>
        <w:t xml:space="preserve">“dysbiosis”</w:t>
      </w:r>
      <w:r>
        <w:t xml:space="preserve"> </w:t>
      </w:r>
      <w:r>
        <w:t xml:space="preserve">is frequently claimed without genetic or batch-controlled evidence. We identified and externally validated the transcriptional biology underlying gastric-cancer prognosis and tested, rather than assumed, whether microbial exposures causally influence risk.</w:t>
      </w:r>
    </w:p>
    <w:p>
      <w:pPr>
        <w:pStyle w:val="BodyText"/>
      </w:pPr>
      <w:r>
        <w:rPr>
          <w:b/>
          <w:bCs/>
        </w:rPr>
        <w:t xml:space="preserve">Methods:</w:t>
      </w:r>
      <w:r>
        <w:t xml:space="preserve"> </w:t>
      </w:r>
      <w:r>
        <w:t xml:space="preserve">We integrated The Cancer Genome Atlas and Genotype-Tissue Expression differential expression (412 tumours versus 443 normal references) and trained a LASSO-Cox prognostic signature on The Cancer Genome Atlas, validating it in three independent cohorts (GSE62254/ACRG, GSE15459, GSE84437; n = 922). We applied gene-set enrichment, immune deconvolution validated against measured leukocyte fraction, weighted gene co-expression network analysis with external module-preservation testing, single-cell localisation (43,992 cells), two-sample Mendelian randomisation of anti-</w:t>
      </w:r>
      <w:r>
        <w:rPr>
          <w:i/>
          <w:iCs/>
        </w:rPr>
        <w:t xml:space="preserve">Helicobacter pylori</w:t>
      </w:r>
      <w:r>
        <w:t xml:space="preserve"> </w:t>
      </w:r>
      <w:r>
        <w:t xml:space="preserve">seropositivity and five gut genera, and a batch-controlled tissue-16S analysis.</w:t>
      </w:r>
    </w:p>
    <w:p>
      <w:pPr>
        <w:pStyle w:val="BodyText"/>
      </w:pPr>
      <w:r>
        <w:rPr>
          <w:b/>
          <w:bCs/>
        </w:rPr>
        <w:t xml:space="preserve">Results:</w:t>
      </w:r>
      <w:r>
        <w:t xml:space="preserve"> </w:t>
      </w:r>
      <w:r>
        <w:t xml:space="preserve">A 25-gene signature showed leakage-free nested cross-validation concordance C = 0.61 (apparent 0.72) and validated in two of three cohorts, though a Hartung–Knapp meta-analysis was non-significant (pooled hazard ratio 1.19, 95% confidence interval 0.96–1.47). The signal converged on a stromal/cancer-associated-fibroblast programme localised to fibroblasts and strongly preserved across three external cohorts (module-preservation Zsummary 15.9–17.1; eigengene hazard ratio per standard deviation 1.24–1.55, all p &lt; 0.005). Adding the signature to stage gave negligible decision-curve benefit (ΔC +0.005). The tumour-microbiome signal was a sequencing-batch artefact (flowcell-predictable at 78% versus 55% baseline) and did not replicate in a batch-clean cohort; Mendelian randomisation detected no causal microbial effect on gastric-cancer risk.</w:t>
      </w:r>
    </w:p>
    <w:p>
      <w:pPr>
        <w:pStyle w:val="BodyText"/>
      </w:pPr>
      <w:r>
        <w:rPr>
          <w:b/>
          <w:bCs/>
        </w:rPr>
        <w:t xml:space="preserve">Conclusion:</w:t>
      </w:r>
      <w:r>
        <w:t xml:space="preserve"> </w:t>
      </w:r>
      <w:r>
        <w:t xml:space="preserve">Gastric-cancer prognosis reflects an externally-replicated stromal/cancer-associated-fibroblast programme that adds little value beyond stage and is not cleanly separable from it; the microbiome associations are observational, not causal.</w:t>
      </w:r>
    </w:p>
    <w:p>
      <w:pPr>
        <w:pStyle w:val="BodyText"/>
      </w:pPr>
      <w:r>
        <w:rPr>
          <w:b/>
          <w:bCs/>
        </w:rPr>
        <w:t xml:space="preserve">Keywords:</w:t>
      </w:r>
      <w:r>
        <w:t xml:space="preserve"> </w:t>
      </w:r>
      <w:r>
        <w:t xml:space="preserve">gastric cancer; multi-omics; cancer-associated fibroblasts; prognostic signature; Mendelian randomisation; external validation</w:t>
      </w:r>
    </w:p>
    <w:bookmarkEnd w:id="9"/>
    <w:bookmarkStart w:id="10" w:name="introduction"/>
    <w:p>
      <w:pPr>
        <w:pStyle w:val="Heading2"/>
      </w:pPr>
      <w:r>
        <w:t xml:space="preserve">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tumour and normal tissue are frequently described as drivers without formal causal testing.</w:t>
      </w:r>
    </w:p>
    <w:p>
      <w:pPr>
        <w:pStyle w:val="BodyText"/>
      </w:pPr>
      <w:r>
        <w:t xml:space="preserve">This study is organised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localisation identify a</w:t>
      </w:r>
      <w:r>
        <w:t xml:space="preserve"> </w:t>
      </w:r>
      <w:r>
        <w:rPr>
          <w:b/>
          <w:bCs/>
        </w:rPr>
        <w:t xml:space="preserve">stromal / cancer-associated-fibroblast programme</w:t>
      </w:r>
      <w:r>
        <w:t xml:space="preserve"> </w:t>
      </w:r>
      <w:r>
        <w:t xml:space="preserve">as the biology underlying prognosis, while we show candidly that the derived gene signature, though independently prognostic, adds little decision value beyond stage; we also characterise the tumour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characterise the tumour-tissue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randomisation</w:t>
      </w:r>
      <w:r>
        <w:t xml:space="preserve"> </w:t>
      </w:r>
      <w:r>
        <w:t xml:space="preserve">—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aterials-and-methods"/>
    <w:p>
      <w:pPr>
        <w:pStyle w:val="Heading2"/>
      </w:pPr>
      <w:r>
        <w:t xml:space="preserve">Materials and Methods</w:t>
      </w:r>
    </w:p>
    <w:bookmarkStart w:id="11" w:name="data-sources"/>
    <w:p>
      <w:pPr>
        <w:pStyle w:val="Heading3"/>
      </w:pPr>
      <w:r>
        <w:t xml:space="preserve">Data sources</w:t>
      </w:r>
    </w:p>
    <w:p>
      <w:pPr>
        <w:pStyle w:val="Compact"/>
        <w:numPr>
          <w:ilvl w:val="0"/>
          <w:numId w:val="1001"/>
        </w:numPr>
      </w:pPr>
      <w:r>
        <w:rPr>
          <w:b/>
          <w:bCs/>
        </w:rPr>
        <w:t xml:space="preserve">TCGA-STAD</w:t>
      </w:r>
      <w:r>
        <w:t xml:space="preserve"> </w:t>
      </w:r>
      <w:r>
        <w:t xml:space="preserve">(host transcriptome): 448 samples (412 primary tumour, 36 solid-tissue normal); STAR gene counts, GENCODE v36; full clinical/molecular annotation (Lauren class, AJCC stage, grade, TCGA molecular subtype, driver mutations, tumour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to a genuine ASV table (897 samples × 314 genera after host/off-target removal); cohort spans the gastric-cancer sequence (299 non-ulcer, 103 ulcer, 219 cancer-adjacent, 323 tumour).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Differential expression and cross-cohort concordance</w:t>
      </w:r>
    </w:p>
    <w:p>
      <w:pPr>
        <w:pStyle w:val="FirstParagraph"/>
      </w:pPr>
      <w:r>
        <w:t xml:space="preserve">Host differential expression used the</w:t>
      </w:r>
      <w:r>
        <w:t xml:space="preserve"> </w:t>
      </w:r>
      <w:r>
        <w:rPr>
          <w:b/>
          <w:bCs/>
        </w:rPr>
        <w:t xml:space="preserve">integrated (ComBat-harmonised) TCGA + GTEx transcriptome</w:t>
      </w:r>
      <w:r>
        <w:t xml:space="preserve">, contrasting TCGA tumours (n=412) against a combined normal reference of TCGA solid-tissue normal (n=36) plus GTEx normal stomach (n=407) — i.e. </w:t>
      </w:r>
      <w:r>
        <w:rPr>
          <w:b/>
          <w:bCs/>
        </w:rPr>
        <w:t xml:space="preserve">412 tumour vs 443 normal</w:t>
      </w:r>
      <w:r>
        <w:t xml:space="preserve"> </w:t>
      </w:r>
      <w:r>
        <w:t xml:space="preserve">— with limma and a cohort covariate (</w:t>
      </w:r>
      <w:r>
        <w:rPr>
          <w:rStyle w:val="VerbatimChar"/>
        </w:rPr>
        <w:t xml:space="preserve">~ sample_type + dataset</w:t>
      </w:r>
      <w:r>
        <w:t xml:space="preserve">). Because the harmonised matrix is scale-standardised, significance was assessed by adjusted p (BH) and genes were ranked by the moderated t-statistic for downstream enrichment. The two GEO tumour/normal cohorts (GSE27342, GSE63089) were</w:t>
      </w:r>
      <w:r>
        <w:t xml:space="preserve"> </w:t>
      </w:r>
      <w:r>
        <w:rPr>
          <w:b/>
          <w:bCs/>
        </w:rPr>
        <w:t xml:space="preserve">co-harmonised within the same phenotype-protected ComBat model</w:t>
      </w:r>
      <w:r>
        <w:t xml:space="preserve"> </w:t>
      </w:r>
      <w:r>
        <w:t xml:space="preserve">and used as a within-cohort tumour-vs-normal concordance check — not a fully independent hold-out, since the harmonisation model included these samples. Because GTEx contributes only normal samples, batch and biology are partially confounded; the cohort covariate and TCGA’s own within-cohort tumour/normal contrast mitigate this, and within-cohort concordance in the GEO cohorts (below) is consistent with a biological rather than batch-driven signal — a supportive check, given the co-harmonisation, rather than strictly independent validation. Lauren diffuse-vs-intestinal DE was computed within TCGA tumours.</w:t>
      </w:r>
    </w:p>
    <w:bookmarkEnd w:id="12"/>
    <w:bookmarkStart w:id="13" w:name="functional-enrichment"/>
    <w:p>
      <w:pPr>
        <w:pStyle w:val="Heading3"/>
      </w:pPr>
      <w:r>
        <w:t xml:space="preserve">Functional enrichment</w:t>
      </w:r>
    </w:p>
    <w:p>
      <w:pPr>
        <w:pStyle w:val="FirstParagraph"/>
      </w:pPr>
      <w:r>
        <w:t xml:space="preserve">Over-representation (clusterProfiler: GO BP/MF/CC, KEGG) and gene-set enrichment (fgsea against MSigDB Hallmark and C2:CP) were run on the ranked DE statistics for tumour-vs-normal and diffuse-vs-intestinal contrasts.</w:t>
      </w:r>
    </w:p>
    <w:bookmarkEnd w:id="13"/>
    <w:bookmarkStart w:id="14" w:name="immune-deconvolution"/>
    <w:p>
      <w:pPr>
        <w:pStyle w:val="Heading3"/>
      </w:pPr>
      <w:r>
        <w:t xml:space="preserve">Immune deconvolution</w:t>
      </w:r>
    </w:p>
    <w:p>
      <w:pPr>
        <w:pStyle w:val="FirstParagraph"/>
      </w:pPr>
      <w:r>
        <w:t xml:space="preserve">MCP-counter and xCell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tumour/normal, Lauren class and molecular subtype, and tested for association with overall survival.</w:t>
      </w:r>
    </w:p>
    <w:bookmarkEnd w:id="14"/>
    <w:bookmarkStart w:id="15" w:name="X328684db3aab5be082e3ea43486333e28f9d6f4"/>
    <w:p>
      <w:pPr>
        <w:pStyle w:val="Heading3"/>
      </w:pPr>
      <w:r>
        <w:t xml:space="preserve">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tumours, yielding a 25-gene signature. Risk scores (Σ coef·z(expression), standardised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w:t>
      </w:r>
    </w:p>
    <w:bookmarkEnd w:id="15"/>
    <w:bookmarkStart w:id="16" w:name="co-expression-network-wgcna"/>
    <w:p>
      <w:pPr>
        <w:pStyle w:val="Heading3"/>
      </w:pPr>
      <w:r>
        <w:t xml:space="preserve">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(minModuleSize 30, deepSplit 2, mergeCutHeight 0.25); module eigengenes were correlated with clinical and immune traits, and each was tested against overall survival (Cox). For the survival-associated module, hub genes were ranked by module membership (MM) and gene significance (GS), and overlap with the prognostic signature was assessed. Robustness of this module to the soft-power choice was tested by rebuilding the network across powers 3–12 and confirming that the hub genes remained co-clustered in a single, survival-associated module.</w:t>
      </w:r>
    </w:p>
    <w:bookmarkEnd w:id="16"/>
    <w:bookmarkStart w:id="17" w:name="survival-modelling-and-nomogram"/>
    <w:p>
      <w:pPr>
        <w:pStyle w:val="Heading3"/>
      </w:pPr>
      <w:r>
        <w:t xml:space="preserve">Survival modelling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S9).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penalise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tumour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sation"/>
    <w:p>
      <w:pPr>
        <w:pStyle w:val="Heading3"/>
      </w:pPr>
      <w:r>
        <w:t xml:space="preserve">Mendelian randomisation</w:t>
      </w:r>
    </w:p>
    <w:p>
      <w:pPr>
        <w:pStyle w:val="FirstParagraph"/>
      </w:pPr>
      <w:r>
        <w:t xml:space="preserve">Two-sample MR (TwoSampleMR) tested six exposures against gastric cancer:</w:t>
      </w:r>
      <w:r>
        <w:t xml:space="preserve"> </w:t>
      </w:r>
      <w:r>
        <w:t xml:space="preserve">anti-</w:t>
      </w:r>
      <w:r>
        <w:rPr>
          <w:i/>
          <w:iCs/>
        </w:rPr>
        <w:t xml:space="preserve">H. pylori</w:t>
      </w:r>
      <w:r>
        <w:t xml:space="preserve"> </w:t>
      </w:r>
      <w:r>
        <w:t xml:space="preserve">IgG seropositivity (ebi-a-GCST90006910; Butler-Laporte 2020)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and</w:t>
      </w:r>
      <w:r>
        <w:t xml:space="preserve"> </w:t>
      </w:r>
      <w:r>
        <w:rPr>
          <w:b/>
          <w:bCs/>
          <w:i/>
          <w:iCs/>
        </w:rPr>
        <w:t xml:space="preserve">Fusobacterium</w:t>
      </w:r>
      <w:r>
        <w:rPr>
          <w:b/>
          <w:bCs/>
        </w:rPr>
        <w:t xml:space="preserve"> </w:t>
      </w:r>
      <w:r>
        <w:rPr>
          <w:b/>
          <w:bCs/>
        </w:rPr>
        <w:t xml:space="preserve">A</w:t>
      </w:r>
      <w:r>
        <w:t xml:space="preserve"> </w:t>
      </w:r>
      <w:r>
        <w:t xml:space="preserve">(abundance in stool; Qin 2022)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pre-harmonisation instrument set fetched from OpenGWAS, and that several SNPs are dropped at harmonisation (per-exposure pre-clump and harmonised-used SNP counts are given in Supplementary Table S1). The primary outcome was ancestry-matched European gastric cancer (ebi-a-GCST90018849; Sakaue 2021; 1,029 cases); a larger East-Asian outcome (7,921 cases) was used as a power sensitivity, clearly labelled cross-ancestry. Estimation used IVW, MR-Egger, weighted-median and mode methods, with Cochran’s Q (heterogeneity), MR-Egger intercept (pleiotropy), Steiger filtering (directionality), leave-one-out and MR-PRESSO sensitivity analyses.</w:t>
      </w:r>
    </w:p>
    <w:bookmarkEnd w:id="19"/>
    <w:bookmarkStart w:id="20" w:name="single-cell-validation"/>
    <w:p>
      <w:pPr>
        <w:pStyle w:val="Heading3"/>
      </w:pPr>
      <w:r>
        <w:t xml:space="preserve">Single-cell validation</w:t>
      </w:r>
    </w:p>
    <w:p>
      <w:pPr>
        <w:pStyle w:val="FirstParagraph"/>
      </w:pPr>
      <w:r>
        <w:t xml:space="preserve">A public gastric single-cell RNA-seq dataset (GSE134520; premalignant-to-early-gastric-cancer cascade) was processed in Seurat v4. Genes detected in &lt;3 cells and cells with &lt;200 detected genes were removed; cells were further filtered to 200–6,000 detected genes and mitochondrial content &lt;20%, retaining 43,992 cells. Counts were log-normalised (</w:t>
      </w:r>
      <w:r>
        <w:rPr>
          <w:rStyle w:val="VerbatimChar"/>
        </w:rPr>
        <w:t xml:space="preserve">LogNormalize</w:t>
      </w:r>
      <w:r>
        <w:t xml:space="preserve">, scale factor 10⁴), the 2,000 most variable features selected, scaled, and reduced by PCA (30 components). Clustering used a shared-nearest-neighbour graph over the first 30 principal components (</w:t>
      </w:r>
      <w:r>
        <w:rPr>
          <w:rStyle w:val="VerbatimChar"/>
        </w:rPr>
        <w:t xml:space="preserve">FindClusters</w:t>
      </w:r>
      <w:r>
        <w:t xml:space="preserve"> </w:t>
      </w:r>
      <w:r>
        <w:t xml:space="preserve">resolution 0.5), with UMAP on the same 30 components for visualisation.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tumour signature. Results are hypothesis-generating and not experimentally validated.</w:t>
      </w:r>
    </w:p>
    <w:bookmarkEnd w:id="21"/>
    <w:bookmarkStart w:id="22" w:name="software-and-reproducibility"/>
    <w:p>
      <w:pPr>
        <w:pStyle w:val="Heading3"/>
      </w:pPr>
      <w:r>
        <w:t xml:space="preserve">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(S8, S9 and S10) are montages of the individual pipeline-output panels listed there, with no panel redrawn or synthesised.</w:t>
      </w:r>
    </w:p>
    <w:bookmarkEnd w:id="22"/>
    <w:bookmarkEnd w:id="23"/>
    <w:bookmarkStart w:id="35" w:name="results"/>
    <w:p>
      <w:pPr>
        <w:pStyle w:val="Heading2"/>
      </w:pPr>
      <w:r>
        <w:t xml:space="preserve">Results</w:t>
      </w:r>
    </w:p>
    <w:bookmarkStart w:id="24" w:name="Xc8969e16bcb0fbf726a386e3443f84c9f8f814d"/>
    <w:p>
      <w:pPr>
        <w:pStyle w:val="Heading3"/>
      </w:pPr>
      <w:r>
        <w:t xml:space="preserve">A reproducible tumour-versus-normal transcriptional programme</w:t>
      </w:r>
    </w:p>
    <w:p>
      <w:pPr>
        <w:pStyle w:val="FirstParagraph"/>
      </w:pPr>
      <w:r>
        <w:t xml:space="preserve">The integrated TCGA+GTEx tumour-versus-normal analysis (412 tumour vs 443 normal) revealed a coherent proliferation-dominated programme. Ranked by tumour-vs-normal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1A); KEGG/GO over-representation highlighted cell cycle, DNA replication/repair and ribosome biogenesis (up) versus gastric acid secretion and fatty-acid degradation (down). At adjusted p&lt;0.05 a large fraction of genes reached significance (3,722 up / 4,025 down of 12,899); on the scale-standardised harmonised matrix this gate is permissive, so the moderated-t ranking and the enrichment above — not the raw count — are the interpretable outputs. The TCGA-only volcano and the top-gene expression heatmap are shown in Figure 6, and the GO:BP/KEGG over-representation dot plots in Supplementary Figure S4.</w:t>
      </w:r>
    </w:p>
    <w:bookmarkEnd w:id="24"/>
    <w:bookmarkStart w:id="25" w:name="X896537e93d8bf0cbe24f9e91e1c2636e056bba9"/>
    <w:p>
      <w:pPr>
        <w:pStyle w:val="Heading3"/>
      </w:pPr>
      <w:r>
        <w:t xml:space="preserve">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tumours (NES 3.17, padj 1.6×10⁻⁴⁰)</w:t>
      </w:r>
      <w:r>
        <w:t xml:space="preserve"> </w:t>
      </w:r>
      <w:r>
        <w:t xml:space="preserve">with TGF-β signalling and stromal/inflammatory programmes, whereas intestinal tumours were dominated by proliferative E2F/MYC/G2M programmes (Figure 1B). Loss of</w:t>
      </w:r>
      <w:r>
        <w:t xml:space="preserve"> </w:t>
      </w:r>
      <w:r>
        <w:rPr>
          <w:i/>
          <w:iCs/>
        </w:rPr>
        <w:t xml:space="preserve">CDH1</w:t>
      </w:r>
      <w:r>
        <w:t xml:space="preserve"> </w:t>
      </w:r>
      <w:r>
        <w:t xml:space="preserve">(E-cadherin) accompanied the diffuse desmoplastic signature.</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5"/>
    <w:bookmarkStart w:id="26" w:name="X9feb026aef46134cfb57048be8a0d9fb28e79f0"/>
    <w:p>
      <w:pPr>
        <w:pStyle w:val="Heading3"/>
      </w:pPr>
      <w:r>
        <w:t xml:space="preserve">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composition.6×10⁻³⁶; ImmuneScore ρ=0.65; Figure 4A,B). Relative to normal, tumours were significantly enriched for the</w:t>
      </w:r>
      <w:r>
        <w:t xml:space="preserve"> </w:t>
      </w:r>
      <w:r>
        <w:rPr>
          <w:b/>
          <w:bCs/>
        </w:rPr>
        <w:t xml:space="preserve">macrophage/monocyte compartment</w:t>
      </w:r>
      <w:r>
        <w:t xml:space="preserve"> </w:t>
      </w:r>
      <w:r>
        <w:t xml:space="preserve">(MCP monocytic lineage p=2.5×10⁻⁴; xCell macrophages p=1.9×10⁻⁴) with no net CD8⁺ gain. EBV and MSI subtypes were the most immune-infiltrated (Kruskal–Wallis p&lt;10⁻⁶), consistent with their established immune-hot biology (Derks et al., 2016; TCGA, 2014). Diffuse tumours showed higher total immune/deconvolution signal than intestinal (CD8 score p=0.0035); this</w:t>
      </w:r>
      <w:r>
        <w:t xml:space="preserve"> </w:t>
      </w:r>
      <w:r>
        <w:rPr>
          <w:b/>
          <w:bCs/>
        </w:rPr>
        <w:t xml:space="preserve">contrasts with reports that diffuse tumours are the least infiltrated by effector T cells</w:t>
      </w:r>
      <w:r>
        <w:t xml:space="preserve"> </w:t>
      </w:r>
      <w:r>
        <w:t xml:space="preserve">(Lin et al., 2019) and, given the strong stromal/EMT and M2-macrophage character of diffuse tumours (§3.2, §3.6), likely reflects a stroma- and macrophage-rich compartment rather than genuine cytotoxic-T infiltration — a known confounder of expression-based deconvolution in stroma-rich tumours. CD8⁺ score was not independently prognostic in this cohort (Cox HR 1.04, p=0.41) — reported as observed.</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6"/>
    <w:bookmarkStart w:id="27" w:name="X7de2ece76c5f06ba2695daed40c6bcbb9948d8c"/>
    <w:p>
      <w:pPr>
        <w:pStyle w:val="Heading3"/>
      </w:pPr>
      <w:r>
        <w:t xml:space="preserve">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standardisation,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2A–C).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0.48</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 (events)</w:t>
            </w:r>
          </w:p>
        </w:tc>
        <w:tc>
          <w:tcPr/>
          <w:p>
            <w:pPr>
              <w:pStyle w:val="Compact"/>
            </w:pPr>
            <w:r>
              <w:t xml:space="preserve">C-index</w:t>
            </w:r>
          </w:p>
        </w:tc>
        <w:tc>
          <w:tcPr/>
          <w:p>
            <w:pPr>
              <w:pStyle w:val="Compact"/>
            </w:pPr>
            <w:r>
              <w:t xml:space="preserve">Log-rank p</w:t>
            </w:r>
          </w:p>
        </w:tc>
        <w:tc>
          <w:tcPr/>
          <w:p>
            <w:pPr>
              <w:pStyle w:val="Compact"/>
            </w:pPr>
            <w:r>
              <w:t xml:space="preserve">HR high-vs-low (95% CI)</w:t>
            </w:r>
          </w:p>
        </w:tc>
      </w:tr>
      <w:tr>
        <w:tc>
          <w:tcPr/>
          <w:p>
            <w:pPr>
              <w:pStyle w:val="Compact"/>
            </w:pPr>
            <w:r>
              <w:t xml:space="preserve">TCGA-STAD (training)</w:t>
            </w:r>
          </w:p>
        </w:tc>
        <w:tc>
          <w:tcPr/>
          <w:p>
            <w:pPr>
              <w:pStyle w:val="Compact"/>
            </w:pPr>
            <w:r>
              <w:t xml:space="preserve">RNA-seq</w:t>
            </w:r>
          </w:p>
        </w:tc>
        <w:tc>
          <w:tcPr/>
          <w:p>
            <w:pPr>
              <w:pStyle w:val="Compact"/>
            </w:pPr>
            <w:r>
              <w:t xml:space="preserve">383 (156)</w:t>
            </w:r>
          </w:p>
        </w:tc>
        <w:tc>
          <w:tcPr/>
          <w:p>
            <w:pPr>
              <w:pStyle w:val="Compact"/>
            </w:pPr>
            <w:r>
              <w:t xml:space="preserve">0.72</w:t>
            </w:r>
          </w:p>
        </w:tc>
        <w:tc>
          <w:tcPr/>
          <w:p>
            <w:pPr>
              <w:pStyle w:val="Compact"/>
            </w:pPr>
            <w:r>
              <w:t xml:space="preserve">2.0×10⁻¹²</w:t>
            </w:r>
          </w:p>
        </w:tc>
        <w:tc>
          <w:tcPr/>
          <w:p>
            <w:pPr>
              <w:pStyle w:val="Compact"/>
            </w:pPr>
            <w:r>
              <w:t xml:space="preserve">—</w:t>
            </w:r>
          </w:p>
        </w:tc>
      </w:tr>
      <w:tr>
        <w:tc>
          <w:tcPr/>
          <w:p>
            <w:pPr>
              <w:pStyle w:val="Compact"/>
            </w:pPr>
            <w:r>
              <w:t xml:space="preserve">GSE62254 / ACRG</w:t>
            </w:r>
          </w:p>
        </w:tc>
        <w:tc>
          <w:tcPr/>
          <w:p>
            <w:pPr>
              <w:pStyle w:val="Compact"/>
            </w:pPr>
            <w:r>
              <w:t xml:space="preserve">Affymetrix</w:t>
            </w:r>
          </w:p>
        </w:tc>
        <w:tc>
          <w:tcPr/>
          <w:p>
            <w:pPr>
              <w:pStyle w:val="Compact"/>
            </w:pPr>
            <w:r>
              <w:t xml:space="preserve">300 (152)</w:t>
            </w:r>
          </w:p>
        </w:tc>
        <w:tc>
          <w:tcPr/>
          <w:p>
            <w:pPr>
              <w:pStyle w:val="Compact"/>
            </w:pPr>
            <w:r>
              <w:t xml:space="preserve">0.61</w:t>
            </w:r>
          </w:p>
        </w:tc>
        <w:tc>
          <w:tcPr/>
          <w:p>
            <w:pPr>
              <w:pStyle w:val="Compact"/>
            </w:pPr>
            <w:r>
              <w:t xml:space="preserve">8.6×10⁻⁵</w:t>
            </w:r>
          </w:p>
        </w:tc>
        <w:tc>
          <w:tcPr/>
          <w:p>
            <w:pPr>
              <w:pStyle w:val="Compact"/>
            </w:pPr>
            <w:r>
              <w:t xml:space="preserve">1.90 (1.37–2.62)</w:t>
            </w:r>
          </w:p>
        </w:tc>
      </w:tr>
      <w:tr>
        <w:tc>
          <w:tcPr/>
          <w:p>
            <w:pPr>
              <w:pStyle w:val="Compact"/>
            </w:pPr>
            <w:r>
              <w:t xml:space="preserve">GSE15459</w:t>
            </w:r>
          </w:p>
        </w:tc>
        <w:tc>
          <w:tcPr/>
          <w:p>
            <w:pPr>
              <w:pStyle w:val="Compact"/>
            </w:pPr>
            <w:r>
              <w:t xml:space="preserve">Affymetrix</w:t>
            </w:r>
          </w:p>
        </w:tc>
        <w:tc>
          <w:tcPr/>
          <w:p>
            <w:pPr>
              <w:pStyle w:val="Compact"/>
            </w:pPr>
            <w:r>
              <w:t xml:space="preserve">191 (95)</w:t>
            </w:r>
          </w:p>
        </w:tc>
        <w:tc>
          <w:tcPr/>
          <w:p>
            <w:pPr>
              <w:pStyle w:val="Compact"/>
            </w:pPr>
            <w:r>
              <w:t xml:space="preserve">0.58</w:t>
            </w:r>
          </w:p>
        </w:tc>
        <w:tc>
          <w:tcPr/>
          <w:p>
            <w:pPr>
              <w:pStyle w:val="Compact"/>
            </w:pPr>
            <w:r>
              <w:t xml:space="preserve">0.014</w:t>
            </w:r>
          </w:p>
        </w:tc>
        <w:tc>
          <w:tcPr/>
          <w:p>
            <w:pPr>
              <w:pStyle w:val="Compact"/>
            </w:pPr>
            <w:r>
              <w:t xml:space="preserve">1.68 (1.11–2.54)</w:t>
            </w:r>
          </w:p>
        </w:tc>
      </w:tr>
      <w:tr>
        <w:tc>
          <w:tcPr/>
          <w:p>
            <w:pPr>
              <w:pStyle w:val="Compact"/>
            </w:pPr>
            <w:r>
              <w:t xml:space="preserve">GSE84437</w:t>
            </w:r>
          </w:p>
        </w:tc>
        <w:tc>
          <w:tcPr/>
          <w:p>
            <w:pPr>
              <w:pStyle w:val="Compact"/>
            </w:pPr>
            <w:r>
              <w:t xml:space="preserve">Illumina</w:t>
            </w:r>
          </w:p>
        </w:tc>
        <w:tc>
          <w:tcPr/>
          <w:p>
            <w:pPr>
              <w:pStyle w:val="Compact"/>
            </w:pPr>
            <w:r>
              <w:t xml:space="preserve">431 (207)</w:t>
            </w:r>
          </w:p>
        </w:tc>
        <w:tc>
          <w:tcPr/>
          <w:p>
            <w:pPr>
              <w:pStyle w:val="Compact"/>
            </w:pPr>
            <w:r>
              <w:t xml:space="preserve">0.53</w:t>
            </w:r>
          </w:p>
        </w:tc>
        <w:tc>
          <w:tcPr/>
          <w:p>
            <w:pPr>
              <w:pStyle w:val="Compact"/>
            </w:pPr>
            <w:r>
              <w:t xml:space="preserve">0.46</w:t>
            </w:r>
          </w:p>
        </w:tc>
        <w:tc>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2D)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the collagen/CAF markers COL1A2 and FAP are hub genes of the prognostic WGCNA module (§3.6), not members of the 25-gene signature. We caution that the coefficients are</w:t>
      </w:r>
      <w:r>
        <w:t xml:space="preserve"> </w:t>
      </w:r>
      <w:r>
        <w:rPr>
          <w:b/>
          <w:bCs/>
        </w:rPr>
        <w:t xml:space="preserve">multivariable penalised-regression weights, not univariate prognostic directions</w:t>
      </w:r>
      <w:r>
        <w:t xml:space="preserve">: for example GPC3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tumour biology. The signature is therefore a statistical aggregate whose biological interpretation rests on the subset overlapping the stromal module (SERPINE1, POSTN, MATN3; §3.6), not on every constituent gene. The standardised LASSO–Cox coefficients (A), the per-cohort external-validation forest plot (B), and Kaplan–Meier stratification across all four cohorts (C) are shown in Figure 7.</w:t>
      </w:r>
    </w:p>
    <w:p>
      <w:pPr>
        <w:pStyle w:val="BodyText"/>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optimism-corrected discrimination was</w:t>
      </w:r>
      <w:r>
        <w:t xml:space="preserve"> </w:t>
      </w:r>
      <w:r>
        <w:rPr>
          <w:b/>
          <w:bCs/>
        </w:rPr>
        <w:t xml:space="preserve">C = 0.48 — no better than chance</w:t>
      </w:r>
      <w:r>
        <w:t xml:space="preserve"> </w:t>
      </w:r>
      <w:r>
        <w:t xml:space="preserve">— and the risk direction inverted (HR high-vs-low 0.63; apparent C 0.54;</w:t>
      </w:r>
      <w:r>
        <w:t xml:space="preserve"> </w:t>
      </w:r>
      <w:r>
        <w:rPr>
          <w:rStyle w:val="VerbatimChar"/>
        </w:rPr>
        <w:t xml:space="preserve">results/base_paper_replication/</w:t>
      </w:r>
      <w:r>
        <w:t xml:space="preserve">). That a prior signature fails to replicate under honest evaluation, while ours reaches a modest but real C = 0.61, underscores that the difference between the two is methodological rigour,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programme that matters most in advanced, mesenchymal tumours (</w:t>
      </w:r>
      <w:r>
        <w:rPr>
          <w:rStyle w:val="VerbatimChar"/>
        </w:rPr>
        <w:t xml:space="preserve">results/predictive/</w:t>
      </w:r>
      <w:r>
        <w:t xml:space="preserve">). The risk×subtype interaction itself was not significant (p=0.094), so this is a coherent pattern rather than a formally subtype-specific effect.</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7"/>
    <w:bookmarkStart w:id="28" w:name="X509766d4e10af2950a02e28d811aafc44ee35bb"/>
    <w:p>
      <w:pPr>
        <w:pStyle w:val="Heading3"/>
      </w:pPr>
      <w:r>
        <w:t xml:space="preserve">A clinical prognostic nomogram (honest complete-case model)</w:t>
      </w:r>
    </w:p>
    <w:p>
      <w:pPr>
        <w:pStyle w:val="FirstParagraph"/>
      </w:pPr>
      <w:r>
        <w:t xml:space="preserve">On complete cases (N=199 of 412 tumours,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penalises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28"/>
    <w:bookmarkStart w:id="29" w:name="X4835dcc2fbd86954ce60b200a06b87f0ba14b0e"/>
    <w:p>
      <w:pPr>
        <w:pStyle w:val="Heading3"/>
      </w:pPr>
      <w:r>
        <w:t xml:space="preserve">Co-expression modules identify a prognostic stromal/EMT programme</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5A; module–trait correlation heatmap in Figure 5B). The</w:t>
      </w:r>
      <w:r>
        <w:t xml:space="preserve"> </w:t>
      </w:r>
      <w:r>
        <w:rPr>
          <w:b/>
          <w:bCs/>
        </w:rPr>
        <w:t xml:space="preserve">turquoise</w:t>
      </w:r>
      <w:r>
        <w:t xml:space="preserve"> </w:t>
      </w:r>
      <w:r>
        <w:t xml:space="preserve">module was most strongly associated with tumour status (r=−0.34, p=1.8×10⁻¹³; down-regulated in tumour, i.e. a differentiated-tissue programme). Testing each module eigengene against overall survival (Cox per 1-SD, tumours),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(tumour-status)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programme</w:t>
      </w:r>
      <w:r>
        <w:t xml:space="preserve"> </w:t>
      </w:r>
      <w:r>
        <w:rPr>
          <w:b/>
          <w:bCs/>
        </w:rPr>
        <w:t xml:space="preserve">tracking tumour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programme; module preservation and external eigengene prognosis are shown in Figure 3A,B.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colour label shifts (red→green→yellow) as the total module count shrinks at higher powers (Figure 5C).</w:t>
      </w:r>
    </w:p>
    <w:p>
      <w:pPr>
        <w:pStyle w:val="BodyText"/>
      </w:pPr>
      <w:r>
        <w:t xml:space="preserve">To test directly whether this stromal signal is a tumour-purity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tumour purity</w:t>
      </w:r>
      <w:r>
        <w:t xml:space="preserve"> </w:t>
      </w:r>
      <w:r>
        <w:t xml:space="preserve">(ρ=−0.20, p=8.9×10⁻⁴), and the CAF score tracked stroma even more strongly (ρ=+0.66, p=4.9×10⁻⁵³); both scores were highest in the diffuse Lauren subtype (Kruskal–Wallis p=1.5×10⁻⁵ and p=1.9×10⁻⁸). This confirms the programme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programme therefore carries prognostic information that co-localises with, but is not reducible to, low tumour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programme</w:t>
      </w:r>
      <w:r>
        <w:t xml:space="preserve"> </w:t>
      </w:r>
      <w:r>
        <w:t xml:space="preserve">— the study’s most robust result. (The within-TCGA stage-adjustment caveat above still applies: the programme tracks, and is not cleanly separable from, tumour stage; but its structural preservation and prognostic association reproduce across four independent cohorts.)</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9"/>
    <w:bookmarkStart w:id="30" w:name="X5d1da8fbfc27263ce1501a9d413d2199dcef362"/>
    <w:p>
      <w:pPr>
        <w:pStyle w:val="Heading3"/>
      </w:pPr>
      <w:r>
        <w:t xml:space="preserve">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favouring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30"/>
    <w:bookmarkStart w:id="31" w:name="tumour-tissue-microbial-dysbiosis"/>
    <w:p>
      <w:pPr>
        <w:pStyle w:val="Heading3"/>
      </w:pPr>
      <w:r>
        <w:t xml:space="preserve">Tumour-tissue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summarised in Figure 4C.</w:t>
      </w:r>
    </w:p>
    <w:p>
      <w:pPr>
        <w:pStyle w:val="BodyText"/>
      </w:pPr>
      <w:r>
        <w:t xml:space="preserve">A technical finding governs all interpretation of the tumour contrast:</w:t>
      </w:r>
      <w:r>
        <w:t xml:space="preserve"> </w:t>
      </w:r>
      <w:r>
        <w:rPr>
          <w:b/>
          <w:bCs/>
        </w:rPr>
        <w:t xml:space="preserve">tumour and non-tumour libraries were sequenced on separate flowcells</w:t>
      </w:r>
      <w:r>
        <w:t xml:space="preserve"> </w:t>
      </w:r>
      <w:r>
        <w:t xml:space="preserve">— of 216 tumour/adjacent-normal pairs, only 1 shares a flowcell — so tumour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emphasise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S11). The apparent tumour</w:t>
      </w:r>
      <w:r>
        <w:t xml:space="preserve"> </w:t>
      </w:r>
      <w:r>
        <w:t xml:space="preserve">“oralization”</w:t>
      </w:r>
      <w:r>
        <w:t xml:space="preserve"> </w:t>
      </w:r>
      <w:r>
        <w:t xml:space="preserve">signal thus largely reflects batch, not biology. Compositional (CLR) differential abundance is shown for completeness (Supplementary Figure S7): 44/61 genera differed between controls and cancer-adjacent mucosa and 18/61 in the paired cancer-adjacent-versus-tumour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tumour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tumour-associated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characterisation whose message is cautionary: the widely-claimed tumour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31"/>
    <w:bookmarkStart w:id="32" w:name="Xc3946e6c9515c08f6ac1aa3c6dc5126e961ec92"/>
    <w:p>
      <w:pPr>
        <w:pStyle w:val="Heading3"/>
      </w:pPr>
      <w:r>
        <w:t xml:space="preserve">Mendelian randomisation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pre-harmonisation instrument set; several SNPs are dropped at harmonisation (per-exposure pre-clump and harmonised-used counts in Supplementary Table S1), so the reported instrument strength characterises the fetched, not the final, SNP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w:t>
            </w:r>
          </w:p>
        </w:tc>
        <w:tc>
          <w:tcPr/>
          <w:p>
            <w:pPr>
              <w:pStyle w:val="Compact"/>
            </w:pPr>
            <w:r>
              <w:t xml:space="preserve">Axis</w:t>
            </w:r>
          </w:p>
        </w:tc>
        <w:tc>
          <w:tcPr/>
          <w:p>
            <w:pPr>
              <w:pStyle w:val="Compact"/>
            </w:pPr>
            <w:r>
              <w:t xml:space="preserve">nSNP</w:t>
            </w:r>
          </w:p>
        </w:tc>
        <w:tc>
          <w:tcPr/>
          <w:p>
            <w:pPr>
              <w:pStyle w:val="Compact"/>
            </w:pPr>
            <w:r>
              <w:t xml:space="preserve">IVW OR (95% CI)</w:t>
            </w:r>
          </w:p>
        </w:tc>
        <w:tc>
          <w:tcPr/>
          <w:p>
            <w:pPr>
              <w:pStyle w:val="Compact"/>
            </w:pPr>
            <w:r>
              <w:t xml:space="preserve">p</w:t>
            </w:r>
          </w:p>
        </w:tc>
      </w:tr>
      <w:tr>
        <w:tc>
          <w:tcPr/>
          <w:p>
            <w:pPr>
              <w:pStyle w:val="Compact"/>
            </w:pPr>
            <w:r>
              <w:t xml:space="preserve">Anti-</w:t>
            </w:r>
            <w:r>
              <w:rPr>
                <w:i/>
                <w:iCs/>
              </w:rPr>
              <w:t xml:space="preserve">H. pylori</w:t>
            </w:r>
            <w:r>
              <w:t xml:space="preserve"> </w:t>
            </w:r>
            <w:r>
              <w:t xml:space="preserve">IgG seropositivity</w:t>
            </w:r>
          </w:p>
        </w:tc>
        <w:tc>
          <w:tcPr/>
          <w:p>
            <w:pPr>
              <w:pStyle w:val="Compact"/>
            </w:pPr>
            <w:r>
              <w:rPr>
                <w:i/>
                <w:iCs/>
              </w:rPr>
              <w:t xml:space="preserve">H. pylori</w:t>
            </w:r>
          </w:p>
        </w:tc>
        <w:tc>
          <w:tcPr/>
          <w:p>
            <w:pPr>
              <w:pStyle w:val="Compact"/>
            </w:pPr>
            <w:r>
              <w:t xml:space="preserve">17</w:t>
            </w:r>
          </w:p>
        </w:tc>
        <w:tc>
          <w:tcPr/>
          <w:p>
            <w:pPr>
              <w:pStyle w:val="Compact"/>
            </w:pPr>
            <w:r>
              <w:t xml:space="preserve">0.96 (0.71–1.30)</w:t>
            </w:r>
          </w:p>
        </w:tc>
        <w:tc>
          <w:tcPr/>
          <w:p>
            <w:pPr>
              <w:pStyle w:val="Compact"/>
            </w:pPr>
            <w:r>
              <w:t xml:space="preserve">0.79</w:t>
            </w:r>
          </w:p>
        </w:tc>
      </w:tr>
      <w:tr>
        <w:tc>
          <w:tcPr/>
          <w:p>
            <w:pPr>
              <w:pStyle w:val="Compact"/>
            </w:pPr>
            <w:r>
              <w:rPr>
                <w:i/>
                <w:iCs/>
              </w:rPr>
              <w:t xml:space="preserve">Streptococcus</w:t>
            </w:r>
            <w:r>
              <w:t xml:space="preserve"> </w:t>
            </w:r>
            <w:r>
              <w:t xml:space="preserve">(genus)</w:t>
            </w:r>
          </w:p>
        </w:tc>
        <w:tc>
          <w:tcPr/>
          <w:p>
            <w:pPr>
              <w:pStyle w:val="Compact"/>
            </w:pPr>
            <w:r>
              <w:t xml:space="preserve">oral-origin</w:t>
            </w:r>
          </w:p>
        </w:tc>
        <w:tc>
          <w:tcPr/>
          <w:p>
            <w:pPr>
              <w:pStyle w:val="Compact"/>
            </w:pPr>
            <w:r>
              <w:t xml:space="preserve">15</w:t>
            </w:r>
          </w:p>
        </w:tc>
        <w:tc>
          <w:tcPr/>
          <w:p>
            <w:pPr>
              <w:pStyle w:val="Compact"/>
            </w:pPr>
            <w:r>
              <w:t xml:space="preserve">1.10 (0.90–1.34)</w:t>
            </w:r>
          </w:p>
        </w:tc>
        <w:tc>
          <w:tcPr/>
          <w:p>
            <w:pPr>
              <w:pStyle w:val="Compact"/>
            </w:pPr>
            <w:r>
              <w:t xml:space="preserve">0.35</w:t>
            </w:r>
          </w:p>
        </w:tc>
      </w:tr>
      <w:tr>
        <w:tc>
          <w:tcPr/>
          <w:p>
            <w:pPr>
              <w:pStyle w:val="Compact"/>
            </w:pPr>
            <w:r>
              <w:rPr>
                <w:i/>
                <w:iCs/>
              </w:rPr>
              <w:t xml:space="preserve">Fusobacterium</w:t>
            </w:r>
            <w:r>
              <w:t xml:space="preserve"> </w:t>
            </w:r>
            <w:r>
              <w:t xml:space="preserve">A</w:t>
            </w:r>
          </w:p>
        </w:tc>
        <w:tc>
          <w:tcPr/>
          <w:p>
            <w:pPr>
              <w:pStyle w:val="Compact"/>
            </w:pPr>
            <w:r>
              <w:t xml:space="preserve">oral-origin</w:t>
            </w:r>
          </w:p>
        </w:tc>
        <w:tc>
          <w:tcPr/>
          <w:p>
            <w:pPr>
              <w:pStyle w:val="Compact"/>
            </w:pPr>
            <w:r>
              <w:t xml:space="preserve">23</w:t>
            </w:r>
          </w:p>
        </w:tc>
        <w:tc>
          <w:tcPr/>
          <w:p>
            <w:pPr>
              <w:pStyle w:val="Compact"/>
            </w:pPr>
            <w:r>
              <w:t xml:space="preserve">1.04 (0.79–1.36)</w:t>
            </w:r>
          </w:p>
        </w:tc>
        <w:tc>
          <w:tcPr/>
          <w:p>
            <w:pPr>
              <w:pStyle w:val="Compact"/>
            </w:pPr>
            <w:r>
              <w:t xml:space="preserve">0.79</w:t>
            </w:r>
          </w:p>
        </w:tc>
      </w:tr>
      <w:tr>
        <w:tc>
          <w:tcPr/>
          <w:p>
            <w:pPr>
              <w:pStyle w:val="Compact"/>
            </w:pPr>
            <w:r>
              <w:rPr>
                <w:i/>
                <w:iCs/>
              </w:rPr>
              <w:t xml:space="preserve">Prevotella 9</w:t>
            </w:r>
          </w:p>
        </w:tc>
        <w:tc>
          <w:tcPr/>
          <w:p>
            <w:pPr>
              <w:pStyle w:val="Compact"/>
            </w:pPr>
            <w:r>
              <w:t xml:space="preserve">oral-origin</w:t>
            </w:r>
          </w:p>
        </w:tc>
        <w:tc>
          <w:tcPr/>
          <w:p>
            <w:pPr>
              <w:pStyle w:val="Compact"/>
            </w:pPr>
            <w:r>
              <w:t xml:space="preserve">15</w:t>
            </w:r>
          </w:p>
        </w:tc>
        <w:tc>
          <w:tcPr/>
          <w:p>
            <w:pPr>
              <w:pStyle w:val="Compact"/>
            </w:pPr>
            <w:r>
              <w:t xml:space="preserve">0.98 (0.84–1.14)</w:t>
            </w:r>
          </w:p>
        </w:tc>
        <w:tc>
          <w:tcPr/>
          <w:p>
            <w:pPr>
              <w:pStyle w:val="Compact"/>
            </w:pPr>
            <w:r>
              <w:t xml:space="preserve">0.76</w:t>
            </w:r>
          </w:p>
        </w:tc>
      </w:tr>
      <w:tr>
        <w:tc>
          <w:tcPr/>
          <w:p>
            <w:pPr>
              <w:pStyle w:val="Compact"/>
            </w:pPr>
            <w:r>
              <w:rPr>
                <w:i/>
                <w:iCs/>
              </w:rPr>
              <w:t xml:space="preserve">Veillonella</w:t>
            </w:r>
          </w:p>
        </w:tc>
        <w:tc>
          <w:tcPr/>
          <w:p>
            <w:pPr>
              <w:pStyle w:val="Compact"/>
            </w:pPr>
            <w:r>
              <w:t xml:space="preserve">oral-origin</w:t>
            </w:r>
          </w:p>
        </w:tc>
        <w:tc>
          <w:tcPr/>
          <w:p>
            <w:pPr>
              <w:pStyle w:val="Compact"/>
            </w:pPr>
            <w:r>
              <w:t xml:space="preserve">8</w:t>
            </w:r>
          </w:p>
        </w:tc>
        <w:tc>
          <w:tcPr/>
          <w:p>
            <w:pPr>
              <w:pStyle w:val="Compact"/>
            </w:pPr>
            <w:r>
              <w:t xml:space="preserve">1.04 (0.84–1.29)</w:t>
            </w:r>
          </w:p>
        </w:tc>
        <w:tc>
          <w:tcPr/>
          <w:p>
            <w:pPr>
              <w:pStyle w:val="Compact"/>
            </w:pPr>
            <w:r>
              <w:t xml:space="preserve">0.69</w:t>
            </w:r>
          </w:p>
        </w:tc>
      </w:tr>
      <w:tr>
        <w:tc>
          <w:tcPr/>
          <w:p>
            <w:pPr>
              <w:pStyle w:val="Compact"/>
            </w:pPr>
            <w:r>
              <w:rPr>
                <w:i/>
                <w:iCs/>
              </w:rPr>
              <w:t xml:space="preserve">Lactobacillus</w:t>
            </w:r>
          </w:p>
        </w:tc>
        <w:tc>
          <w:tcPr/>
          <w:p>
            <w:pPr>
              <w:pStyle w:val="Compact"/>
            </w:pPr>
            <w:r>
              <w:t xml:space="preserve">protective-cand.</w:t>
            </w:r>
          </w:p>
        </w:tc>
        <w:tc>
          <w:tcPr/>
          <w:p>
            <w:pPr>
              <w:pStyle w:val="Compact"/>
            </w:pPr>
            <w:r>
              <w:t xml:space="preserve">10</w:t>
            </w:r>
          </w:p>
        </w:tc>
        <w:tc>
          <w:tcPr/>
          <w:p>
            <w:pPr>
              <w:pStyle w:val="Compact"/>
            </w:pPr>
            <w:r>
              <w:t xml:space="preserve">0.96 (0.85–1.09)</w:t>
            </w:r>
          </w:p>
        </w:tc>
        <w:tc>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representative-exposure SNP-effect scatter and leave-one-out plots are shown in Supplementary Figures S5 and S6, and the full six-exposure scatter panel in Figure 8.</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Rao et al. 2025, ref 16) and individual gut genera (Chang et al. 2024, ref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tumour-vs-normal transcriptome (pre-ranked GSEA on the tumour-vs-normal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programmes were enriched among tumour-up genes — cytokine–cytokine-receptor interaction (NES 1.40, p_adj 6.5×10⁻³), IL-17 signalling (NES 1.64, p_adj 6.5×10⁻³) and NF-κB-inducing-kinase activation (GO, NES 1.71, p_adj 0.050) — while metabolic sets (adipocytokine signalling NES −2.14;</w:t>
      </w:r>
      <w:r>
        <w:t xml:space="preserve"> </w:t>
      </w:r>
      <w:r>
        <w:rPr>
          <w:i/>
          <w:iCs/>
        </w:rPr>
        <w:t xml:space="preserve">Salmonella</w:t>
      </w:r>
      <w:r>
        <w:t xml:space="preserve">-infection NES −1.91) were enriched among tumour-down genes. Because this is a pathway-level signal in bulk tumour tissue and not a test of any microbe–gene relationship, and because the tissue-microbiome arm is itself batch-confounded (§3.8), we report it strictly as hypothesis-generating context, not as evidence of a causal or correlative host–microbiome axis.</w:t>
      </w:r>
    </w:p>
    <w:bookmarkEnd w:id="32"/>
    <w:bookmarkStart w:id="33" w:name="X90207fdf2a2a81e03918c954ea4de9366de9e0c"/>
    <w:p>
      <w:pPr>
        <w:pStyle w:val="Heading3"/>
      </w:pPr>
      <w:r>
        <w:t xml:space="preserve">The prognostic module localises to the fibroblast/stromal compartment (single-cell)</w:t>
      </w:r>
    </w:p>
    <w:p>
      <w:pPr>
        <w:pStyle w:val="FirstParagraph"/>
      </w:pPr>
      <w:r>
        <w:t xml:space="preserve">To resolve the cellular origin of the prognostic red module, we analysed a public gastric single-cell RNA-seq dataset spanning the premalignant-to-early-cancer cascade (GSE134520; 43,992 cells after QC, 8 cell types). The module localised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tumour-epithelial signal. Among signature genes, stromal members likewise tracked fibroblasts (POSTN, APOD, MATN3), epithelial-programme genes localised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localises, at single-cell resolution, to the</w:t>
      </w:r>
      <w:r>
        <w:t xml:space="preserve"> </w:t>
      </w:r>
      <w:r>
        <w:rPr>
          <w:b/>
          <w:bCs/>
        </w:rPr>
        <w:t xml:space="preserve">fibroblast/stromal compartment</w:t>
      </w:r>
      <w:r>
        <w:t xml:space="preserve"> </w:t>
      </w:r>
      <w:r>
        <w:t xml:space="preserve">rather than the tumour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localisation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3C;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localisation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programme rather than constituting an independent test of its prognostic specificity. Two further limits bound the inference: the dataset is premalignant/early-stage (fibroblasts only ~4% of cells; no myCAF/iCAF sub-clustering was attempted, and FAP — the one activated-CAF marker — did not localise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programme</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33"/>
    <w:bookmarkStart w:id="34" w:name="X394830dbb23cc75b61f1de6c4b6b22e8dface7c"/>
    <w:p>
      <w:pPr>
        <w:pStyle w:val="Heading3"/>
      </w:pPr>
      <w:r>
        <w:t xml:space="preserve">In-silico drug-repurposing (hypothesis-generating)</w:t>
      </w:r>
    </w:p>
    <w:p>
      <w:pPr>
        <w:pStyle w:val="FirstParagraph"/>
      </w:pPr>
      <w:r>
        <w:t xml:space="preserve">Querying the integrated tumour signature (top 150 up / 150 down genes by tumour-vs-normal t) against LINCS L1000 and GEO drug-perturbation libraries (Enrichr) for compounds whose perturbation profile</w:t>
      </w:r>
      <w:r>
        <w:t xml:space="preserve"> </w:t>
      </w:r>
      <w:r>
        <w:rPr>
          <w:b/>
          <w:bCs/>
        </w:rPr>
        <w:t xml:space="preserve">reverses</w:t>
      </w:r>
      <w:r>
        <w:t xml:space="preserve"> </w:t>
      </w:r>
      <w:r>
        <w:t xml:space="preserve">the tumour signature nominated a robust set of candidates that reverse it on</w:t>
      </w:r>
      <w:r>
        <w:t xml:space="preserve"> </w:t>
      </w:r>
      <w:r>
        <w:rPr>
          <w:b/>
          <w:bCs/>
        </w:rPr>
        <w:t xml:space="preserve">both arms</w:t>
      </w:r>
      <w:r>
        <w:t xml:space="preserve"> </w:t>
      </w:r>
      <w:r>
        <w:t xml:space="preserve">(repressing tumour-up genes</w:t>
      </w:r>
      <w:r>
        <w:t xml:space="preserve"> </w:t>
      </w:r>
      <w:r>
        <w:rPr>
          <w:i/>
          <w:iCs/>
        </w:rPr>
        <w:t xml:space="preserve">and</w:t>
      </w:r>
      <w:r>
        <w:t xml:space="preserve"> </w:t>
      </w:r>
      <w:r>
        <w:t xml:space="preserve">inducing tumour-down genes). The strongest were dominated by</w:t>
      </w:r>
      <w:r>
        <w:t xml:space="preserve"> </w:t>
      </w:r>
      <w:r>
        <w:rPr>
          <w:b/>
          <w:bCs/>
        </w:rPr>
        <w:t xml:space="preserve">PI3K/mTOR inhibitors (NVP-BEZ235, PI-103, GDC-0941, torin-2, GDC-0980)</w:t>
      </w:r>
      <w:r>
        <w:t xml:space="preserve"> </w:t>
      </w:r>
      <w:r>
        <w:t xml:space="preserve">and cell-cycle inhibitors (</w:t>
      </w:r>
      <w:r>
        <w:rPr>
          <w:b/>
          <w:bCs/>
        </w:rPr>
        <w:t xml:space="preserve">palbociclib</w:t>
      </w:r>
      <w:r>
        <w:t xml:space="preserve">, CDK4/6), alongside FGFR/multikinase inhibitors (PD-173074, dovitinib, foretinib) and the polyphenol resveratrol — all concordant with the proliferation-dominated programme. The CDK/HDAC/multikinase classes nominated independently from the TCGA-only signature (roscovitine, belinostat, dasatinib) were reproduced, confirming robustness across the TCGA-only and integrated TCGA+GTEx signatures.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34"/>
    <w:bookmarkEnd w:id="35"/>
    <w:bookmarkStart w:id="37" w:name="discussion"/>
    <w:p>
      <w:pPr>
        <w:pStyle w:val="Heading2"/>
      </w:pPr>
      <w:r>
        <w:t xml:space="preserve">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localisation; the accompanying proliferation/DNA-repair transcriptional programme (with diffuse-restricted EMT) and macrophage-weighted immune microenvironment are internally consistent and externally anchored (deconvolution validated against measured leukocyte fraction). In the secondary arm we characterise tumour-microbiome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localisation to fibroblasts, and an honest external decision-curve analysis points consistently to the</w:t>
      </w:r>
      <w:r>
        <w:t xml:space="preserve"> </w:t>
      </w:r>
      <w:r>
        <w:rPr>
          <w:b/>
          <w:bCs/>
        </w:rPr>
        <w:t xml:space="preserve">tumour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fall within the module; and the single-cell step uses canonical fibroblast markers (DCN, LUM, COL1A1/COL1A2, FAP, COL3A1) both to define the fibroblast cluster and as the localisation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tumour-versus-normal contrast is</w:t>
      </w:r>
      <w:r>
        <w:t xml:space="preserve"> </w:t>
      </w:r>
      <w:r>
        <w:rPr>
          <w:b/>
          <w:bCs/>
        </w:rPr>
        <w:t xml:space="preserve">confounded with sequencing batch</w:t>
      </w:r>
      <w:r>
        <w:t xml:space="preserve"> </w:t>
      </w:r>
      <w:r>
        <w:t xml:space="preserve">(tumour and normal libraries sequenced on separate flowcells), so the apparent tumour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reverse the proliferation-dominated tumour-up programme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tumour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36" w:name="limitations"/>
    <w:p>
      <w:pPr>
        <w:pStyle w:val="Heading3"/>
      </w:pPr>
      <w:r>
        <w:t xml:space="preserve">Limitations</w:t>
      </w:r>
    </w:p>
    <w:p>
      <w:pPr>
        <w:pStyle w:val="Compact"/>
        <w:numPr>
          <w:ilvl w:val="0"/>
          <w:numId w:val="1002"/>
        </w:numPr>
      </w:pPr>
      <w:r>
        <w:t xml:space="preserve">Transcriptomic cohorts span RNA-seq and microarray platforms; batch and platform effects are mitigated by within-cohort standardisation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tumour-tissue microbiome, the discovery cohort has tumour/normal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36"/>
    <w:bookmarkEnd w:id="37"/>
    <w:bookmarkStart w:id="38" w:name="conclusion"/>
    <w:p>
      <w:pPr>
        <w:pStyle w:val="Heading2"/>
      </w:pPr>
      <w:r>
        <w:t xml:space="preserve">Conclusion</w:t>
      </w:r>
    </w:p>
    <w:p>
      <w:pPr>
        <w:pStyle w:val="FirstParagraph"/>
      </w:pPr>
      <w:r>
        <w:t xml:space="preserve">This study establishes an</w:t>
      </w:r>
      <w:r>
        <w:t xml:space="preserve"> </w:t>
      </w:r>
      <w:r>
        <w:rPr>
          <w:b/>
          <w:bCs/>
        </w:rPr>
        <w:t xml:space="preserve">externally validated stromal/cancer-associated-fibroblast (CAF) programme</w:t>
      </w:r>
      <w:r>
        <w:t xml:space="preserve"> </w:t>
      </w:r>
      <w:r>
        <w:t xml:space="preserve">as the reproducible transcriptomic biology underlying gastric-cancer prognosis. The programme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localise it unambiguously to the fibroblast compartment. Around this positive finding we draw the boundaries of what the data support with equal rigour. The 25-gene operationalisation of the programme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tumour-tissue microbial dysbiosis proved comparator-dependent and confounded by sequencing batch, replicating only where a batch-clean external cohort permits — a concrete illustration of how readily tissue-microbiome signals can be manufactured by design artefacts. The Mendelian-randomisation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38"/>
    <w:bookmarkStart w:id="39"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tumour/non-tumour,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harmonised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This research received no specific grant from any funding agency in the public, commercial, or not-for-profit sectors. ⟦If a grant applies, replace with agency name and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⟦AUTHOR INITIALS⟧ conceived and designed the study. ⟦AUTHOR INITIALS⟧ curated the public datasets and performed the bioinformatic and statistical analyses (differential expression, WGCNA, LASSO-Cox signature, immune deconvolution, single-cell, microbiome and Mendelian-randomisation pipelines). ⟦AUTHOR INITIALS⟧ interpreted the results. ⟦AUTHOR INITIALS⟧ drafted the manuscript; all authors critically revised it for important intellectual content. ⟦CORRESPONDING-AUTHOR INITIALS⟧ supervised the work. All authors read and approved the final manuscript. (Assign the bracketed initials to the named authors on the Title Page.)</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39"/>
    <w:bookmarkStart w:id="40" w:name="references"/>
    <w:p>
      <w:pPr>
        <w:pStyle w:val="Heading2"/>
      </w:pPr>
      <w:r>
        <w:t xml:space="preserve">References</w:t>
      </w:r>
    </w:p>
    <w:p>
      <w:pPr>
        <w:pStyle w:val="FirstParagraph"/>
      </w:pPr>
      <w:r>
        <w:rPr>
          <w:i/>
          <w:iCs/>
        </w:rPr>
        <w:t xml:space="preserve">Formatted in Vancouver style.</w:t>
      </w:r>
    </w:p>
    <w:p>
      <w:pPr>
        <w:pStyle w:val="Compact"/>
        <w:numPr>
          <w:ilvl w:val="0"/>
          <w:numId w:val="1003"/>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03"/>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03"/>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03"/>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03"/>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03"/>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03"/>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03"/>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03"/>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03"/>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03"/>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03"/>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03"/>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03"/>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03"/>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03"/>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03"/>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03"/>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03"/>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03"/>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03"/>
        </w:numPr>
      </w:pPr>
      <w:r>
        <w:t xml:space="preserve">Li X, et al. Single-cell and bulk transcriptomics identify a cancer-associated-fibroblast signature predicting prognosis in gastric cancer. 2023. PMID 36717783.</w:t>
      </w:r>
    </w:p>
    <w:p>
      <w:pPr>
        <w:pStyle w:val="Compact"/>
        <w:numPr>
          <w:ilvl w:val="0"/>
          <w:numId w:val="1003"/>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03"/>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03"/>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03"/>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03"/>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03"/>
        </w:numPr>
      </w:pPr>
      <w:r>
        <w:t xml:space="preserve">Oksanen J, et al. vegan: Community Ecology Package. R package (PERMANOVA/adonis2, betadisper). 2022.</w:t>
      </w:r>
    </w:p>
    <w:p>
      <w:pPr>
        <w:pStyle w:val="Compact"/>
        <w:numPr>
          <w:ilvl w:val="0"/>
          <w:numId w:val="1003"/>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03"/>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03"/>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03"/>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03"/>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03"/>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03"/>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03"/>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03"/>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03"/>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40"/>
    <w:bookmarkStart w:id="65" w:name="figures"/>
    <w:p>
      <w:pPr>
        <w:pStyle w:val="Heading2"/>
      </w:pPr>
      <w:r>
        <w:t xml:space="preserve">Figures</w:t>
      </w:r>
    </w:p>
    <w:p>
      <w:pPr>
        <w:pStyle w:val="CaptionedFigure"/>
      </w:pPr>
      <w:r>
        <w:drawing>
          <wp:inline>
            <wp:extent cx="5334000" cy="5647764"/>
            <wp:effectExtent b="0" l="0" r="0" t="0"/>
            <wp:docPr descr="Figure 1" title="" id="42" name="Picture"/>
            <a:graphic>
              <a:graphicData uri="http://schemas.openxmlformats.org/drawingml/2006/picture">
                <pic:pic>
                  <pic:nvPicPr>
                    <pic:cNvPr descr="results/figures/Fig1.png" id="43" name="Picture"/>
                    <pic:cNvPicPr>
                      <a:picLocks noChangeArrowheads="1" noChangeAspect="1"/>
                    </pic:cNvPicPr>
                  </pic:nvPicPr>
                  <pic:blipFill>
                    <a:blip r:embed="rId41"/>
                    <a:stretch>
                      <a:fillRect/>
                    </a:stretch>
                  </pic:blipFill>
                  <pic:spPr bwMode="auto">
                    <a:xfrm>
                      <a:off x="0" y="0"/>
                      <a:ext cx="5334000" cy="564776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Tumour transcriptional programmes.</w:t>
      </w:r>
      <w:r>
        <w:t xml:space="preserve"> </w:t>
      </w:r>
      <w:r>
        <w:t xml:space="preserve">(A) Hallmark GSEA, tumour vs normal (diverging NES, coloured by −log₁₀ adjusted-p): E2F/G2M/MYC/EMT up, oxidative-phosphorylation and fatty-acid metabolism down. (B) Diffuse vs intestinal: EMT, inflammatory and IL6/TNF-NF-κB programmes up in diffuse.</w:t>
      </w:r>
    </w:p>
    <w:p>
      <w:pPr>
        <w:pStyle w:val="CaptionedFigure"/>
      </w:pPr>
      <w:r>
        <w:drawing>
          <wp:inline>
            <wp:extent cx="5334000" cy="4364181"/>
            <wp:effectExtent b="0" l="0" r="0" t="0"/>
            <wp:docPr descr="Figure 2" title="" id="45" name="Picture"/>
            <a:graphic>
              <a:graphicData uri="http://schemas.openxmlformats.org/drawingml/2006/picture">
                <pic:pic>
                  <pic:nvPicPr>
                    <pic:cNvPr descr="results/figures/Fig2.png" id="46" name="Picture"/>
                    <pic:cNvPicPr>
                      <a:picLocks noChangeArrowheads="1" noChangeAspect="1"/>
                    </pic:cNvPicPr>
                  </pic:nvPicPr>
                  <pic:blipFill>
                    <a:blip r:embed="rId4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The 25-gene signature, reported honestly.</w:t>
      </w:r>
      <w:r>
        <w:t xml:space="preserve"> </w:t>
      </w:r>
      <w:r>
        <w:t xml:space="preserve">(A) Kaplan–Meier, high- vs low-risk in TCGA (median split; n=383, 156 events; log-rank p&lt;0.001). (B) Forest of per-cohort age/stage-adjusted per-SD HR with the Hartung–Knapp pooled estimate (HR 1.19, 95% CI 0.96–1.47; prediction interval 0.90–1.57; not significant). (C) Leakage-free nested-CV discrimination (Harrell C 0.611, Uno 0.573; time-AUC 0.61/0.61/0.63) versus the optimistic apparent C 0.72. (D) ACRG time-varying HR(t): strong early (1.49 at 12 mo), attenuating to null by 36–60 mo.</w:t>
      </w:r>
    </w:p>
    <w:p>
      <w:pPr>
        <w:pStyle w:val="CaptionedFigure"/>
      </w:pPr>
      <w:r>
        <w:drawing>
          <wp:inline>
            <wp:extent cx="5334000" cy="5614736"/>
            <wp:effectExtent b="0" l="0" r="0" t="0"/>
            <wp:docPr descr="Figure 3" title="" id="48" name="Picture"/>
            <a:graphic>
              <a:graphicData uri="http://schemas.openxmlformats.org/drawingml/2006/picture">
                <pic:pic>
                  <pic:nvPicPr>
                    <pic:cNvPr descr="results/figures/Fig3.png" id="49" name="Picture"/>
                    <pic:cNvPicPr>
                      <a:picLocks noChangeArrowheads="1" noChangeAspect="1"/>
                    </pic:cNvPicPr>
                  </pic:nvPicPr>
                  <pic:blipFill>
                    <a:blip r:embed="rId47"/>
                    <a:stretch>
                      <a:fillRect/>
                    </a:stretch>
                  </pic:blipFill>
                  <pic:spPr bwMode="auto">
                    <a:xfrm>
                      <a:off x="0" y="0"/>
                      <a:ext cx="5334000" cy="561473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The externally-validated fibroblast/stromal module (primary finding).</w:t>
      </w:r>
      <w:r>
        <w:t xml:space="preserve"> </w:t>
      </w:r>
      <w:r>
        <w:t xml:space="preserve">(A) Module-preservation Zsummary in three external cohorts (15.9/16.8/17.1; all &gt; the Z=10</w:t>
      </w:r>
      <w:r>
        <w:t xml:space="preserve"> </w:t>
      </w:r>
      <w:r>
        <w:t xml:space="preserve">“strong”</w:t>
      </w:r>
      <w:r>
        <w:t xml:space="preserve"> </w:t>
      </w:r>
      <w:r>
        <w:t xml:space="preserve">threshold). (B) External module-eigengene Cox HR/SD (1.24–1.55, all p&lt;0.01). (C) Single-cell localisation: fraction-in-dominant-cell-type for stromal hub genes — nearly all fibroblast-dominant (all 23/23 hub genes not used for cluster annotation remain fibroblast-dominant, median 0.96; the sole non-fibroblast gene, FAP, was itself one of the annotation markers).</w:t>
      </w:r>
    </w:p>
    <w:p>
      <w:pPr>
        <w:pStyle w:val="CaptionedFigure"/>
      </w:pPr>
      <w:r>
        <w:drawing>
          <wp:inline>
            <wp:extent cx="5334000" cy="4364181"/>
            <wp:effectExtent b="0" l="0" r="0" t="0"/>
            <wp:docPr descr="Figure 4" title="" id="51" name="Picture"/>
            <a:graphic>
              <a:graphicData uri="http://schemas.openxmlformats.org/drawingml/2006/picture">
                <pic:pic>
                  <pic:nvPicPr>
                    <pic:cNvPr descr="results/figures/Fig4.png" id="52" name="Picture"/>
                    <pic:cNvPicPr>
                      <a:picLocks noChangeArrowheads="1" noChangeAspect="1"/>
                    </pic:cNvPicPr>
                  </pic:nvPicPr>
                  <pic:blipFill>
                    <a:blip r:embed="rId5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Immune microenvironment and the multi-cohort microbiome.</w:t>
      </w:r>
      <w:r>
        <w:t xml:space="preserve"> </w:t>
      </w:r>
      <w:r>
        <w:t xml:space="preserve">(A) Deconvolution validated against measured histological leukocyte fraction (Spearman ρ up to 0.67). (B) Immune scores by TCGA molecular subtype (EBV/MSI immune-hot; all KW adj-p&lt;10⁻⁶). (C) Three-cohort microbiome honesty panel: Japan tumour signal batch-confounded (Bray R² 0.065→0.011 after flowcell adjustment), Italy null (R²=0.018, p=0.80), Portugal replicates reduced diversity (Shannon p=0.004; Bray R²=0.145, p=0.001).</w:t>
      </w:r>
    </w:p>
    <w:p>
      <w:pPr>
        <w:pStyle w:val="CaptionedFigure"/>
      </w:pPr>
      <w:r>
        <w:drawing>
          <wp:inline>
            <wp:extent cx="5334000" cy="4588000"/>
            <wp:effectExtent b="0" l="0" r="0" t="0"/>
            <wp:docPr descr="Figure 5" title="" id="54" name="Picture"/>
            <a:graphic>
              <a:graphicData uri="http://schemas.openxmlformats.org/drawingml/2006/picture">
                <pic:pic>
                  <pic:nvPicPr>
                    <pic:cNvPr descr="results/figures/Fig5.png" id="55" name="Picture"/>
                    <pic:cNvPicPr>
                      <a:picLocks noChangeArrowheads="1" noChangeAspect="1"/>
                    </pic:cNvPicPr>
                  </pic:nvPicPr>
                  <pic:blipFill>
                    <a:blip r:embed="rId53"/>
                    <a:stretch>
                      <a:fillRect/>
                    </a:stretch>
                  </pic:blipFill>
                  <pic:spPr bwMode="auto">
                    <a:xfrm>
                      <a:off x="0" y="0"/>
                      <a:ext cx="5334000" cy="45880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Weighted gene co-expression network analysis (WGCNA) of TCGA-STAD.</w:t>
      </w:r>
      <w:r>
        <w:t xml:space="preserve"> </w:t>
      </w:r>
      <w:r>
        <w:t xml:space="preserve">(A) Gene dendrogram of the 5,000 most variable genes (signed-hybrid network, biweight midcorrelation, soft power β=3) with dynamic-tree-cut module colours; the prognostic red module is one of the resulting co-expression modules. (B) Module–trait correlation heatmap of module eigengenes against clinical/phenotypic traits; the red and turquoise modules show the strongest outcome associations. (C) Soft-threshold power robustness: the prognostic CAF module and its survival association are invariant across β=3–12 (scale-free R² 0.865–0.886), so the finding does not depend on the power choice. Source:</w:t>
      </w:r>
      <w:r>
        <w:t xml:space="preserve"> </w:t>
      </w:r>
      <w:r>
        <w:rPr>
          <w:rStyle w:val="VerbatimChar"/>
        </w:rPr>
        <w:t xml:space="preserve">results/wgcna_real/</w:t>
      </w:r>
      <w:r>
        <w:t xml:space="preserve">.</w:t>
      </w:r>
    </w:p>
    <w:p>
      <w:pPr>
        <w:pStyle w:val="CaptionedFigure"/>
      </w:pPr>
      <w:r>
        <w:drawing>
          <wp:inline>
            <wp:extent cx="5334000" cy="4177188"/>
            <wp:effectExtent b="0" l="0" r="0" t="0"/>
            <wp:docPr descr="Figure 6" title="" id="57" name="Picture"/>
            <a:graphic>
              <a:graphicData uri="http://schemas.openxmlformats.org/drawingml/2006/picture">
                <pic:pic>
                  <pic:nvPicPr>
                    <pic:cNvPr descr="results/figures/Fig6.png" id="58" name="Picture"/>
                    <pic:cNvPicPr>
                      <a:picLocks noChangeArrowheads="1" noChangeAspect="1"/>
                    </pic:cNvPicPr>
                  </pic:nvPicPr>
                  <pic:blipFill>
                    <a:blip r:embed="rId56"/>
                    <a:stretch>
                      <a:fillRect/>
                    </a:stretch>
                  </pic:blipFill>
                  <pic:spPr bwMode="auto">
                    <a:xfrm>
                      <a:off x="0" y="0"/>
                      <a:ext cx="5334000" cy="417718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TCGA-only differential expression.</w:t>
      </w:r>
      <w:r>
        <w:t xml:space="preserve"> </w:t>
      </w:r>
      <w:r>
        <w:t xml:space="preserve">(A) Volcano of tumour-vs-normal differential expression within TCGA alone (limma; 2,134 up / 2,362 down of 21,446 genes at |log₂FC|&gt;1, adjusted p&lt;0.05) — the platform-matched contrast confirming the integrated TCGA+GTEx ranking (§3.1) reflects tumour biology rather than a GTEx-normal artefact. (B) Row-scaled expression of the top 30 TCGA tumour-vs-normal DEGs across all 448 samples (36 normal, 412 tumour); proliferation markers (MKI67, TOP2A, TPX2, CENPF) and stromal COL1A1 in the up block, normal-mucosa markers in the down block. (C) Cross-cohort concordance of the integrated tumour-vs-normal ranking (integrated moderated-t) against the TCGA-only contrast (log₂FC, Pearson r=0.73) and two independent GEO validation cohorts (GSE27342 t, r=0.62; GSE63089 t, r=0.58), over the 12,905 genes shared across all four rankings; points coloured by direction of regulation in the integrated analysis (red = up, blue = down in tumour). Source:</w:t>
      </w:r>
      <w:r>
        <w:t xml:space="preserve"> </w:t>
      </w:r>
      <w:r>
        <w:rPr>
          <w:rStyle w:val="VerbatimChar"/>
        </w:rPr>
        <w:t xml:space="preserve">results/plots/transcriptome/</w:t>
      </w:r>
      <w:r>
        <w:t xml:space="preserve">,</w:t>
      </w:r>
      <w:r>
        <w:t xml:space="preserve"> </w:t>
      </w:r>
      <w:r>
        <w:rPr>
          <w:rStyle w:val="VerbatimChar"/>
        </w:rPr>
        <w:t xml:space="preserve">results/tables/DEG_integrated_concordance.csv</w:t>
      </w:r>
      <w:r>
        <w:t xml:space="preserve">. The integrated ranking concorded with the TCGA-only contrast (Pearson r=0.73) and with</w:t>
      </w:r>
      <w:r>
        <w:t xml:space="preserve"> </w:t>
      </w:r>
      <w:r>
        <w:rPr>
          <w:b/>
          <w:bCs/>
        </w:rPr>
        <w:t xml:space="preserve">two independent GEO validation cohorts</w:t>
      </w:r>
      <w:r>
        <w:t xml:space="preserve"> </w:t>
      </w:r>
      <w:r>
        <w:t xml:space="preserve">(GSE27342 r=0.62, GSE63089 r=0.58); these three cross-cohort concordances are shown in Figure 6C. A direct batch-versus-biology check (scripted in</w:t>
      </w:r>
      <w:r>
        <w:t xml:space="preserve"> </w:t>
      </w:r>
      <w:r>
        <w:rPr>
          <w:rStyle w:val="VerbatimChar"/>
        </w:rPr>
        <w:t xml:space="preserve">analysis/22_deg_diagnostics.R</w:t>
      </w:r>
      <w:r>
        <w:t xml:space="preserve">) confirmed the signal is</w:t>
      </w:r>
      <w:r>
        <w:t xml:space="preserve"> </w:t>
      </w:r>
      <w:r>
        <w:rPr>
          <w:b/>
          <w:bCs/>
        </w:rPr>
        <w:t xml:space="preserve">not GTEx-driven</w:t>
      </w:r>
      <w:r>
        <w:t xml:space="preserve">: 100% of the top-100 and top-200 up- and down-regulated integrated genes — and ≥98.6% of the top-500 — were independently significant and concordant in direction in the TCGA-only contrast, with 99.5% directional concordance across all 6,952 genes significant in both (</w:t>
      </w:r>
      <w:r>
        <w:rPr>
          <w:rStyle w:val="VerbatimChar"/>
        </w:rPr>
        <w:t xml:space="preserve">results/tables/DEG_TCGAonly_replication.csv</w:t>
      </w:r>
      <w:r>
        <w:t xml:space="preserve">). The two GEO cohorts concord more with each other (r=0.81) than with the integrated ranking (r=0.58–0.62); we attribute this residual gap to cross-platform noise and a small GTEx-specific component, consistent with the near-complete TCGA-only replication. We further resolved whether the large significance count reflects biology or residual batch. The median test-statistic inflation was high (observed λ=17.3), but this is expected when the global null is grossly false — as it is for a tumour-vs-normal contrast with extensive real reprogramming — so λ here is</w:t>
      </w:r>
      <w:r>
        <w:t xml:space="preserve"> </w:t>
      </w:r>
      <w:r>
        <w:rPr>
          <w:b/>
          <w:bCs/>
        </w:rPr>
        <w:t xml:space="preserve">not</w:t>
      </w:r>
      <w:r>
        <w:t xml:space="preserve"> </w:t>
      </w:r>
      <w:r>
        <w:t xml:space="preserve">a QC statistic in the GWAS sense. A</w:t>
      </w:r>
      <w:r>
        <w:t xml:space="preserve"> </w:t>
      </w:r>
      <w:r>
        <w:rPr>
          <w:b/>
          <w:bCs/>
        </w:rPr>
        <w:t xml:space="preserve">permutation null</w:t>
      </w:r>
      <w:r>
        <w:t xml:space="preserve"> </w:t>
      </w:r>
      <w:r>
        <w:t xml:space="preserve">(shuffling tumour/normal labels within the TCGA stratum, GTEx fixed as normal, refitting, B=100) collapsed to λ≈1 (mean 1.06, 95th percentile 1.58;</w:t>
      </w:r>
      <w:r>
        <w:t xml:space="preserve"> </w:t>
      </w:r>
      <w:r>
        <w:rPr>
          <w:rStyle w:val="VerbatimChar"/>
        </w:rPr>
        <w:t xml:space="preserve">results/tables/DEG_permutation_null_lambda.csv</w:t>
      </w:r>
      <w:r>
        <w:t xml:space="preserve">); because a label-driven artefact would have kept the permuted null inflated, the observed inflation is consistent with</w:t>
      </w:r>
      <w:r>
        <w:t xml:space="preserve"> </w:t>
      </w:r>
      <w:r>
        <w:rPr>
          <w:b/>
          <w:bCs/>
        </w:rPr>
        <w:t xml:space="preserve">genuine, widespread tumour-vs-normal biology</w:t>
      </w:r>
      <w:r>
        <w:t xml:space="preserve"> </w:t>
      </w:r>
      <w:r>
        <w:t xml:space="preserve">rather than an artefact of the permissive significance gate. This permutation is performed on the ComBat-harmonised matrix, shuffling tumour/normal labels within the TCGA stratum, so it bounds residual label-driven inflation</w:t>
      </w:r>
      <w:r>
        <w:t xml:space="preserve"> </w:t>
      </w:r>
      <w:r>
        <w:rPr>
          <w:i/>
          <w:iCs/>
        </w:rPr>
        <w:t xml:space="preserve">given</w:t>
      </w:r>
      <w:r>
        <w:t xml:space="preserve"> </w:t>
      </w:r>
      <w:r>
        <w:t xml:space="preserve">the harmonisation rather than re-deriving batch correction from scratch; the</w:t>
      </w:r>
      <w:r>
        <w:t xml:space="preserve"> </w:t>
      </w:r>
      <w:r>
        <w:rPr>
          <w:b/>
          <w:bCs/>
        </w:rPr>
        <w:t xml:space="preserve">near-complete TCGA-only replication above — which uses no GTEx — is the stronger guarantee</w:t>
      </w:r>
      <w:r>
        <w:t xml:space="preserve"> </w:t>
      </w:r>
      <w:r>
        <w:t xml:space="preserve">that the signal is neither GTEx- nor batch-driven. Because the TCGA-only contrast already replicates ~100% of the integrated signal, the GTEx arm functions as a corroborating normal reference rather than a source of independent discovery power. Accordingly we treat the moderated-t ranking and rank-based enrichment as the primary outputs and the raw significance count as descriptive of signal density, not an FDR-controlled set.</w:t>
      </w:r>
    </w:p>
    <w:p>
      <w:pPr>
        <w:pStyle w:val="CaptionedFigure"/>
      </w:pPr>
      <w:r>
        <w:drawing>
          <wp:inline>
            <wp:extent cx="5334000" cy="3149600"/>
            <wp:effectExtent b="0" l="0" r="0" t="0"/>
            <wp:docPr descr="Figure 7" title="" id="60" name="Picture"/>
            <a:graphic>
              <a:graphicData uri="http://schemas.openxmlformats.org/drawingml/2006/picture">
                <pic:pic>
                  <pic:nvPicPr>
                    <pic:cNvPr descr="results/figures/Fig7.png" id="61" name="Picture"/>
                    <pic:cNvPicPr>
                      <a:picLocks noChangeArrowheads="1" noChangeAspect="1"/>
                    </pic:cNvPicPr>
                  </pic:nvPicPr>
                  <pic:blipFill>
                    <a:blip r:embed="rId59"/>
                    <a:stretch>
                      <a:fillRect/>
                    </a:stretch>
                  </pic:blipFill>
                  <pic:spPr bwMode="auto">
                    <a:xfrm>
                      <a:off x="0" y="0"/>
                      <a:ext cx="5334000" cy="31496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 The 25-gene prognostic signature in detail.</w:t>
      </w:r>
      <w:r>
        <w:t xml:space="preserve"> </w:t>
      </w:r>
      <w:r>
        <w:t xml:space="preserve">(A) Standardised LASSO–Cox coefficients (log-hazard per SD) for the 25 signature genes; the three genes also in the prognostic WGCNA red module (SERPINE1, POSTN, MATN3) are highlighted. (B) Per-cohort external-validation forest plot (per-SD continuous HR): ACRG/GSE62254 1.90 (1.37–2.62), GSE15459 1.68 (1.11–2.53), GSE84437 1.11 (null). (C) Kaplan–Meier stratification (median split) across all four cohorts with log-rank tests, including the GSE84437 null shown transparently. Source:</w:t>
      </w:r>
      <w:r>
        <w:t xml:space="preserve"> </w:t>
      </w:r>
      <w:r>
        <w:rPr>
          <w:rStyle w:val="VerbatimChar"/>
        </w:rPr>
        <w:t xml:space="preserve">results/validation/</w:t>
      </w:r>
      <w:r>
        <w:t xml:space="preserve">,</w:t>
      </w:r>
      <w:r>
        <w:t xml:space="preserve"> </w:t>
      </w:r>
      <w:r>
        <w:rPr>
          <w:rStyle w:val="VerbatimChar"/>
        </w:rPr>
        <w:t xml:space="preserve">results/validation_multi/</w:t>
      </w:r>
      <w:r>
        <w:t xml:space="preserve">.</w:t>
      </w:r>
    </w:p>
    <w:p>
      <w:pPr>
        <w:pStyle w:val="CaptionedFigure"/>
      </w:pPr>
      <w:r>
        <w:drawing>
          <wp:inline>
            <wp:extent cx="5334000" cy="3222625"/>
            <wp:effectExtent b="0" l="0" r="0" t="0"/>
            <wp:docPr descr="Figure 8" title="" id="63" name="Picture"/>
            <a:graphic>
              <a:graphicData uri="http://schemas.openxmlformats.org/drawingml/2006/picture">
                <pic:pic>
                  <pic:nvPicPr>
                    <pic:cNvPr descr="results/figures/Fig8.png" id="64" name="Picture"/>
                    <pic:cNvPicPr>
                      <a:picLocks noChangeArrowheads="1" noChangeAspect="1"/>
                    </pic:cNvPicPr>
                  </pic:nvPicPr>
                  <pic:blipFill>
                    <a:blip r:embed="rId62"/>
                    <a:stretch>
                      <a:fillRect/>
                    </a:stretch>
                  </pic:blipFill>
                  <pic:spPr bwMode="auto">
                    <a:xfrm>
                      <a:off x="0" y="0"/>
                      <a:ext cx="5334000" cy="322262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 Mendelian-randomisation SNP-effect scatter, all six exposures.</w:t>
      </w:r>
      <w:r>
        <w:t xml:space="preserve"> </w:t>
      </w:r>
      <w:r>
        <w:t xml:space="preserve">SNP–exposure versus SNP–outcome effects with the five MR method slopes (IVW, MR-Egger, weighted median, weighted mode, simple mode) for each exposure against the European gastric-cancer outcome. Across all six exposures the primary IVW, weighted-median and mode slopes straddle the null; the non-flat MR-Egger slope for Fusobacterium and Veillonella reflects the expected instability of Egger regression with few instruments (§3.9). Source:</w:t>
      </w:r>
      <w:r>
        <w:t xml:space="preserve"> </w:t>
      </w:r>
      <w:r>
        <w:rPr>
          <w:rStyle w:val="VerbatimChar"/>
        </w:rPr>
        <w:t xml:space="preserve">results/mr_real/</w:t>
      </w:r>
      <w:r>
        <w:t xml:space="preserve">. No multiple-testing correction was required across the six exposures, since the smallest observed p-value (0.35) is far from even a nominal 0.05 threshold, let alone a Bonferroni-adjusted one. A</w:t>
      </w:r>
      <w:r>
        <w:t xml:space="preserve"> </w:t>
      </w:r>
      <w:r>
        <w:rPr>
          <w:b/>
          <w:bCs/>
        </w:rPr>
        <w:t xml:space="preserve">power sensitivity analysis</w:t>
      </w:r>
      <w:r>
        <w:t xml:space="preserve"> </w:t>
      </w:r>
      <w:r>
        <w:t xml:space="preserve">against a 7.7×-larger East-Asian gastric-cancer outcome (7,921 cases; cross-ancestry, interpreted cautiously as European instruments transfer imperfectly) was</w:t>
      </w:r>
      <w:r>
        <w:t xml:space="preserve"> </w:t>
      </w:r>
      <w:r>
        <w:rPr>
          <w:b/>
          <w:bCs/>
        </w:rPr>
        <w:t xml:space="preserve">also non-significant</w:t>
      </w:r>
      <w:r>
        <w:t xml:space="preserve"> </w:t>
      </w:r>
      <w:r>
        <w:t xml:space="preserve">throughout (anti-</w:t>
      </w:r>
      <w:r>
        <w:rPr>
          <w:i/>
          <w:iCs/>
        </w:rPr>
        <w:t xml:space="preserve">H. pylori</w:t>
      </w:r>
      <w:r>
        <w:t xml:space="preserve"> </w:t>
      </w:r>
      <w:r>
        <w:t xml:space="preserve">IgG OR 0.99, p=0.93;</w:t>
      </w:r>
      <w:r>
        <w:t xml:space="preserve"> </w:t>
      </w:r>
      <w:r>
        <w:rPr>
          <w:i/>
          <w:iCs/>
        </w:rPr>
        <w:t xml:space="preserve">Streptococcus</w:t>
      </w:r>
      <w:r>
        <w:t xml:space="preserve"> </w:t>
      </w:r>
      <w:r>
        <w:t xml:space="preserve">OR 1.09, p=0.34).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2026-07-27T10:39:43Z</dcterms:created>
  <dcterms:modified xsi:type="dcterms:W3CDTF">2026-07-27T10:39:43Z</dcterms:modified>
</cp:coreProperties>
</file>

<file path=docProps/custom.xml><?xml version="1.0" encoding="utf-8"?>
<Properties xmlns="http://schemas.openxmlformats.org/officeDocument/2006/custom-properties" xmlns:vt="http://schemas.openxmlformats.org/officeDocument/2006/docPropsVTypes"/>
</file>