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4.png" ContentType="image/png"/>
  <Override PartName="/word/media/rId37.png" ContentType="image/png"/>
  <Override PartName="/word/media/rId16.png" ContentType="image/png"/>
  <Override PartName="/word/media/rId19.png" ContentType="image/png"/>
  <Override PartName="/word/media/rId28.png" ContentType="image/png"/>
  <Override PartName="/word/media/rId40.png" ContentType="image/png"/>
  <Override PartName="/word/media/rId25.png" ContentType="image/png"/>
  <Override PartName="/word/media/rId22.png" ContentType="image/png"/>
  <Override PartName="/word/media/rId13.png" ContentType="image/png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supplementary-material"/>
    <w:p>
      <w:pPr>
        <w:pStyle w:val="Heading1"/>
      </w:pPr>
      <w:r>
        <w:t xml:space="preserve">Supplementary Material</w:t>
      </w:r>
    </w:p>
    <w:bookmarkStart w:id="9" w:name="supplementary-tables"/>
    <w:p>
      <w:pPr>
        <w:pStyle w:val="Heading2"/>
      </w:pPr>
      <w:r>
        <w:t xml:space="preserve">Supplementary Tables</w:t>
      </w:r>
    </w:p>
    <w:p>
      <w:pPr>
        <w:pStyle w:val="FirstParagraph"/>
      </w:pPr>
      <w:r>
        <w:rPr>
          <w:b/>
          <w:bCs/>
        </w:rPr>
        <w:t xml:space="preserve">Supplementary Table S1. Per-exposure Mendelian-randomisation instruments.</w:t>
      </w:r>
      <w:r>
        <w:t xml:space="preserve"> </w:t>
      </w:r>
      <w:r>
        <w:t xml:space="preserve">Instrument count, F-statistics, and inverse-variance-weighted estimates for each microbial exposure.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Exposure</w:t>
            </w:r>
          </w:p>
        </w:tc>
        <w:tc>
          <w:tcPr/>
          <w:p>
            <w:pPr>
              <w:pStyle w:val="Compact"/>
            </w:pPr>
            <w:r>
              <w:t xml:space="preserve">p_threshold</w:t>
            </w:r>
          </w:p>
        </w:tc>
        <w:tc>
          <w:tcPr/>
          <w:p>
            <w:pPr>
              <w:pStyle w:val="Compact"/>
            </w:pPr>
            <w:r>
              <w:t xml:space="preserve">nSNP_prclump</w:t>
            </w:r>
          </w:p>
        </w:tc>
        <w:tc>
          <w:tcPr/>
          <w:p>
            <w:pPr>
              <w:pStyle w:val="Compact"/>
            </w:pPr>
            <w:r>
              <w:t xml:space="preserve">nSNP_used</w:t>
            </w:r>
          </w:p>
        </w:tc>
        <w:tc>
          <w:tcPr/>
          <w:p>
            <w:pPr>
              <w:pStyle w:val="Compact"/>
            </w:pPr>
            <w:r>
              <w:t xml:space="preserve">mean_F</w:t>
            </w:r>
          </w:p>
        </w:tc>
        <w:tc>
          <w:tcPr/>
          <w:p>
            <w:pPr>
              <w:pStyle w:val="Compact"/>
            </w:pPr>
            <w:r>
              <w:t xml:space="preserve">min_F</w:t>
            </w:r>
          </w:p>
        </w:tc>
        <w:tc>
          <w:tcPr/>
          <w:p>
            <w:pPr>
              <w:pStyle w:val="Compact"/>
            </w:pPr>
            <w:r>
              <w:t xml:space="preserve">IVW_OR</w:t>
            </w:r>
          </w:p>
        </w:tc>
        <w:tc>
          <w:tcPr/>
          <w:p>
            <w:pPr>
              <w:pStyle w:val="Compact"/>
            </w:pPr>
            <w:r>
              <w:t xml:space="preserve">IVW_CI</w:t>
            </w:r>
          </w:p>
        </w:tc>
        <w:tc>
          <w:tcPr/>
          <w:p>
            <w:pPr>
              <w:pStyle w:val="Compact"/>
            </w:pPr>
            <w:r>
              <w:t xml:space="preserve">IVW_p</w:t>
            </w:r>
          </w:p>
        </w:tc>
        <w:tc>
          <w:tcPr/>
          <w:p>
            <w:pPr>
              <w:pStyle w:val="Compact"/>
            </w:pPr>
            <w:r>
              <w:t xml:space="preserve">PRESSO_global_p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H. pylori IgG seropositivity</w:t>
            </w:r>
          </w:p>
        </w:tc>
        <w:tc>
          <w:tcPr/>
          <w:p>
            <w:pPr>
              <w:pStyle w:val="Compact"/>
            </w:pPr>
            <w:r>
              <w:t xml:space="preserve">5e-8 -&gt; 1e-5 (locus-wide)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21.6</w:t>
            </w:r>
          </w:p>
        </w:tc>
        <w:tc>
          <w:tcPr/>
          <w:p>
            <w:pPr>
              <w:pStyle w:val="Compact"/>
            </w:pPr>
            <w:r>
              <w:t xml:space="preserve">19.7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0.71-1.30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Streptococcus (genus)</w:t>
            </w:r>
          </w:p>
        </w:tc>
        <w:tc>
          <w:tcPr/>
          <w:p>
            <w:pPr>
              <w:pStyle w:val="Compact"/>
            </w:pPr>
            <w:r>
              <w:t xml:space="preserve">5e-8 -&gt; 1e-5 (locus-wide)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22.5</w:t>
            </w:r>
          </w:p>
        </w:tc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0.90-1.34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0.159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Fusobacterium</w:t>
            </w:r>
          </w:p>
        </w:tc>
        <w:tc>
          <w:tcPr/>
          <w:p>
            <w:pPr>
              <w:pStyle w:val="Compact"/>
            </w:pPr>
            <w:r>
              <w:t xml:space="preserve">5e-8 -&gt; 1e-5 (locus-wide)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22.8</w:t>
            </w:r>
          </w:p>
        </w:tc>
        <w:tc>
          <w:tcPr/>
          <w:p>
            <w:pPr>
              <w:pStyle w:val="Compact"/>
            </w:pPr>
            <w:r>
              <w:t xml:space="preserve">19.6</w:t>
            </w:r>
          </w:p>
        </w:tc>
        <w:tc>
          <w:tcPr/>
          <w:p>
            <w:pPr>
              <w:pStyle w:val="Compact"/>
            </w:pPr>
            <w:r>
              <w:t xml:space="preserve">1.04</w:t>
            </w:r>
          </w:p>
        </w:tc>
        <w:tc>
          <w:tcPr/>
          <w:p>
            <w:pPr>
              <w:pStyle w:val="Compact"/>
            </w:pPr>
            <w:r>
              <w:t xml:space="preserve">0.79-1.36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  <w:tc>
          <w:tcPr/>
          <w:p>
            <w:pPr>
              <w:pStyle w:val="Compact"/>
            </w:pPr>
            <w:r>
              <w:t xml:space="preserve">0.611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Prevotella</w:t>
            </w:r>
          </w:p>
        </w:tc>
        <w:tc>
          <w:tcPr/>
          <w:p>
            <w:pPr>
              <w:pStyle w:val="Compact"/>
            </w:pPr>
            <w:r>
              <w:t xml:space="preserve">5e-8 -&gt; 1e-5 (locus-wide)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20.9</w:t>
            </w:r>
          </w:p>
        </w:tc>
        <w:tc>
          <w:tcPr/>
          <w:p>
            <w:pPr>
              <w:pStyle w:val="Compact"/>
            </w:pPr>
            <w:r>
              <w:t xml:space="preserve">19.4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0.84-1.14</w:t>
            </w:r>
          </w:p>
        </w:tc>
        <w:tc>
          <w:tcPr/>
          <w:p>
            <w:pPr>
              <w:pStyle w:val="Compact"/>
            </w:pPr>
            <w:r>
              <w:t xml:space="preserve">0.76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Veillonella</w:t>
            </w:r>
          </w:p>
        </w:tc>
        <w:tc>
          <w:tcPr/>
          <w:p>
            <w:pPr>
              <w:pStyle w:val="Compact"/>
            </w:pPr>
            <w:r>
              <w:t xml:space="preserve">5e-8 -&gt; 1e-5 (locus-wide)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21.2</w:t>
            </w:r>
          </w:p>
        </w:tc>
        <w:tc>
          <w:tcPr/>
          <w:p>
            <w:pPr>
              <w:pStyle w:val="Compact"/>
            </w:pPr>
            <w:r>
              <w:t xml:space="preserve">19.9</w:t>
            </w:r>
          </w:p>
        </w:tc>
        <w:tc>
          <w:tcPr/>
          <w:p>
            <w:pPr>
              <w:pStyle w:val="Compact"/>
            </w:pPr>
            <w:r>
              <w:t xml:space="preserve">1.04</w:t>
            </w:r>
          </w:p>
        </w:tc>
        <w:tc>
          <w:tcPr/>
          <w:p>
            <w:pPr>
              <w:pStyle w:val="Compact"/>
            </w:pPr>
            <w:r>
              <w:t xml:space="preserve">0.84-1.29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0.676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Lactobacillus</w:t>
            </w:r>
          </w:p>
        </w:tc>
        <w:tc>
          <w:tcPr/>
          <w:p>
            <w:pPr>
              <w:pStyle w:val="Compact"/>
            </w:pPr>
            <w:r>
              <w:t xml:space="preserve">5e-8 -&gt; 1e-5 (locus-wide)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22.1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0.84-1.09</w:t>
            </w:r>
          </w:p>
        </w:tc>
        <w:tc>
          <w:tcPr/>
          <w:p>
            <w:pPr>
              <w:pStyle w:val="Compact"/>
            </w:pPr>
            <w:r>
              <w:t xml:space="preserve">0.51</w:t>
            </w:r>
          </w:p>
        </w:tc>
        <w:tc>
          <w:tcPr/>
          <w:p>
            <w:pPr>
              <w:pStyle w:val="Compact"/>
            </w:pPr>
            <w:r>
              <w:t xml:space="preserve">0.542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S2. MR-PRESSO global tests.</w:t>
      </w:r>
      <w:r>
        <w:t xml:space="preserve"> </w:t>
      </w:r>
      <w:r>
        <w:t xml:space="preserve">Horizontal-pleiotropy global test per exposure.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exposure</w:t>
            </w:r>
          </w:p>
        </w:tc>
        <w:tc>
          <w:tcPr/>
          <w:p>
            <w:pPr>
              <w:pStyle w:val="Compact"/>
            </w:pPr>
            <w:r>
              <w:t xml:space="preserve">RSSobs</w:t>
            </w:r>
          </w:p>
        </w:tc>
        <w:tc>
          <w:tcPr/>
          <w:p>
            <w:pPr>
              <w:pStyle w:val="Compact"/>
            </w:pPr>
            <w:r>
              <w:t xml:space="preserve">PRESSO_global_p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H. pylori IgG seropositivity</w:t>
            </w:r>
          </w:p>
        </w:tc>
        <w:tc>
          <w:tcPr/>
          <w:p>
            <w:pPr>
              <w:pStyle w:val="Compact"/>
            </w:pPr>
            <w:r>
              <w:t xml:space="preserve">32.6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Streptococcus (genus)</w:t>
            </w:r>
          </w:p>
        </w:tc>
        <w:tc>
          <w:tcPr/>
          <w:p>
            <w:pPr>
              <w:pStyle w:val="Compact"/>
            </w:pPr>
            <w:r>
              <w:t xml:space="preserve">23.1</w:t>
            </w:r>
          </w:p>
        </w:tc>
        <w:tc>
          <w:tcPr/>
          <w:p>
            <w:pPr>
              <w:pStyle w:val="Compact"/>
            </w:pPr>
            <w:r>
              <w:t xml:space="preserve">0.159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Lactobacillus</w:t>
            </w:r>
          </w:p>
        </w:tc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0.542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Prevotella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0.605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Fusobacterium</w:t>
            </w:r>
          </w:p>
        </w:tc>
        <w:tc>
          <w:tcPr/>
          <w:p>
            <w:pPr>
              <w:pStyle w:val="Compact"/>
            </w:pPr>
            <w:r>
              <w:t xml:space="preserve">21.8</w:t>
            </w:r>
          </w:p>
        </w:tc>
        <w:tc>
          <w:tcPr/>
          <w:p>
            <w:pPr>
              <w:pStyle w:val="Compact"/>
            </w:pPr>
            <w:r>
              <w:t xml:space="preserve">0.611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Veillonella</w:t>
            </w:r>
          </w:p>
        </w:tc>
        <w:tc>
          <w:tcPr/>
          <w:p>
            <w:pPr>
              <w:pStyle w:val="Compact"/>
            </w:pPr>
            <w:r>
              <w:t xml:space="preserve">6.39</w:t>
            </w:r>
          </w:p>
        </w:tc>
        <w:tc>
          <w:tcPr/>
          <w:p>
            <w:pPr>
              <w:pStyle w:val="Compact"/>
            </w:pPr>
            <w:r>
              <w:t xml:space="preserve">0.676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S3. TRIPOD checklist.</w:t>
      </w:r>
      <w:r>
        <w:t xml:space="preserve"> </w:t>
      </w:r>
      <w:r>
        <w:t xml:space="preserve">Item-by-item reporting location (provided as separate TRIPOD_checklist file).</w:t>
      </w:r>
    </w:p>
    <w:p>
      <w:pPr>
        <w:pStyle w:val="BodyText"/>
      </w:pPr>
      <w:r>
        <w:rPr>
          <w:b/>
          <w:bCs/>
        </w:rPr>
        <w:t xml:space="preserve">Supplementary Table S4. Alpha-diversity effect sizes.</w:t>
      </w:r>
      <w:r>
        <w:t xml:space="preserve"> </w:t>
      </w:r>
      <w:r>
        <w:t xml:space="preserve">Cliff’s delta and Wilcoxon p for Observed/Shannon/Simpson across the disease cascade.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median_Nonul</w:t>
            </w:r>
          </w:p>
        </w:tc>
        <w:tc>
          <w:tcPr/>
          <w:p>
            <w:pPr>
              <w:pStyle w:val="Compact"/>
            </w:pPr>
            <w:r>
              <w:t xml:space="preserve">median_GCN</w:t>
            </w:r>
          </w:p>
        </w:tc>
        <w:tc>
          <w:tcPr/>
          <w:p>
            <w:pPr>
              <w:pStyle w:val="Compact"/>
            </w:pPr>
            <w:r>
              <w:t xml:space="preserve">cliffs_delta</w:t>
            </w:r>
          </w:p>
        </w:tc>
        <w:tc>
          <w:tcPr/>
          <w:p>
            <w:pPr>
              <w:pStyle w:val="Compact"/>
            </w:pPr>
            <w:r>
              <w:t xml:space="preserve">wilcox_p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-0.27</w:t>
            </w:r>
          </w:p>
        </w:tc>
        <w:tc>
          <w:tcPr/>
          <w:p>
            <w:pPr>
              <w:pStyle w:val="Compact"/>
            </w:pPr>
            <w:r>
              <w:t xml:space="preserve">3.3e-07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Shannon</w:t>
            </w:r>
          </w:p>
        </w:tc>
        <w:tc>
          <w:tcPr/>
          <w:p>
            <w:pPr>
              <w:pStyle w:val="Compact"/>
            </w:pPr>
            <w:r>
              <w:t xml:space="preserve">2.18</w:t>
            </w:r>
          </w:p>
        </w:tc>
        <w:tc>
          <w:tcPr/>
          <w:p>
            <w:pPr>
              <w:pStyle w:val="Compact"/>
            </w:pPr>
            <w:r>
              <w:t xml:space="preserve">1.92</w:t>
            </w:r>
          </w:p>
        </w:tc>
        <w:tc>
          <w:tcPr/>
          <w:p>
            <w:pPr>
              <w:pStyle w:val="Compact"/>
            </w:pPr>
            <w:r>
              <w:t xml:space="preserve">-0.122</w:t>
            </w:r>
          </w:p>
        </w:tc>
        <w:tc>
          <w:tcPr/>
          <w:p>
            <w:pPr>
              <w:pStyle w:val="Compact"/>
            </w:pPr>
            <w:r>
              <w:t xml:space="preserve">0.0211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Simpson</w:t>
            </w:r>
          </w:p>
        </w:tc>
        <w:tc>
          <w:tcPr/>
          <w:p>
            <w:pPr>
              <w:pStyle w:val="Compact"/>
            </w:pPr>
            <w:r>
              <w:t xml:space="preserve">0.781</w:t>
            </w:r>
          </w:p>
        </w:tc>
        <w:tc>
          <w:tcPr/>
          <w:p>
            <w:pPr>
              <w:pStyle w:val="Compact"/>
            </w:pPr>
            <w:r>
              <w:t xml:space="preserve">0.756</w:t>
            </w:r>
          </w:p>
        </w:tc>
        <w:tc>
          <w:tcPr/>
          <w:p>
            <w:pPr>
              <w:pStyle w:val="Compact"/>
            </w:pPr>
            <w:r>
              <w:t xml:space="preserve">-0.072</w:t>
            </w:r>
          </w:p>
        </w:tc>
        <w:tc>
          <w:tcPr/>
          <w:p>
            <w:pPr>
              <w:pStyle w:val="Compact"/>
            </w:pPr>
            <w:r>
              <w:t xml:space="preserve">0.172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S5. Non-circular single-cell localisation.</w:t>
      </w:r>
      <w:r>
        <w:t xml:space="preserve"> </w:t>
      </w:r>
      <w:r>
        <w:t xml:space="preserve">Dominant cell type per stromal hub gene, excluding cluster-annotation markers.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</w:t>
            </w:r>
          </w:p>
        </w:tc>
        <w:tc>
          <w:tcPr/>
          <w:p>
            <w:pPr>
              <w:pStyle w:val="Compact"/>
            </w:pPr>
            <w:r>
              <w:t xml:space="preserve">dominant_cell_type</w:t>
            </w:r>
          </w:p>
        </w:tc>
        <w:tc>
          <w:tcPr/>
          <w:p>
            <w:pPr>
              <w:pStyle w:val="Compact"/>
            </w:pPr>
            <w:r>
              <w:t xml:space="preserve">frac_in_dominant</w:t>
            </w:r>
          </w:p>
        </w:tc>
        <w:tc>
          <w:tcPr/>
          <w:p>
            <w:pPr>
              <w:pStyle w:val="Compact"/>
            </w:pPr>
            <w:r>
              <w:t xml:space="preserve">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ANTXR1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0.863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COL6A3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0.977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SPARC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0.653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POSTN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0.973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MXRA8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FN1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0.914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COL8A1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VCAN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0.972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GFPT2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0.527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THBS2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AEBP1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0.924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BGN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0.972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SULF1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0.773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COL5A1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BICC1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FBN1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0.932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ISLR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0.902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CDH11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SFRP4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0.987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SCARF2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0.736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PRRX1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0.979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FNDC1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ITGA11</w:t>
            </w:r>
          </w:p>
        </w:tc>
        <w:tc>
          <w:tcPr/>
          <w:p>
            <w:pPr>
              <w:pStyle w:val="Compact"/>
            </w:pPr>
            <w:r>
              <w:t xml:space="preserve">Fibroblast</w:t>
            </w:r>
          </w:p>
        </w:tc>
        <w:tc>
          <w:tcPr/>
          <w:p>
            <w:pPr>
              <w:pStyle w:val="Compact"/>
            </w:pPr>
            <w:r>
              <w:t xml:space="preserve">0.984</w:t>
            </w:r>
          </w:p>
        </w:tc>
        <w:tc>
          <w:tcPr/>
          <w:p>
            <w:pPr>
              <w:pStyle w:val="Compact"/>
            </w:pPr>
            <w:r>
              <w:t xml:space="preserve">stromal_hub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S6. GSE84437 pT-stage-stratified validation.</w:t>
      </w:r>
      <w:r>
        <w:t xml:space="preserve"> </w:t>
      </w:r>
      <w:r>
        <w:t xml:space="preserve">Signature discrimination within pT-stage strata.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subset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C_se</w:t>
            </w:r>
          </w:p>
        </w:tc>
        <w:tc>
          <w:tcPr/>
          <w:p>
            <w:pPr>
              <w:pStyle w:val="Compact"/>
            </w:pPr>
            <w:r>
              <w:t xml:space="preserve">HR_perSD</w:t>
            </w:r>
          </w:p>
        </w:tc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C_below_0.5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(T1-T4)</w:t>
            </w:r>
          </w:p>
        </w:tc>
        <w:tc>
          <w:tcPr/>
          <w:p>
            <w:pPr>
              <w:pStyle w:val="Compact"/>
            </w:pPr>
            <w:r>
              <w:t xml:space="preserve">431</w:t>
            </w:r>
          </w:p>
        </w:tc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0.465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1.14</w:t>
            </w:r>
          </w:p>
        </w:tc>
        <w:tc>
          <w:tcPr/>
          <w:p>
            <w:pPr>
              <w:pStyle w:val="Compact"/>
            </w:pPr>
            <w:r>
              <w:t xml:space="preserve">1.00-1.29</w:t>
            </w:r>
          </w:p>
        </w:tc>
        <w:tc>
          <w:tcPr/>
          <w:p>
            <w:pPr>
              <w:pStyle w:val="Compact"/>
            </w:pPr>
            <w:r>
              <w:t xml:space="preserve">0.0512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Early (T1-T3)</w:t>
            </w:r>
          </w:p>
        </w:tc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  <w:tc>
          <w:tcPr/>
          <w:p>
            <w:pPr>
              <w:pStyle w:val="Compact"/>
            </w:pPr>
            <w:r>
              <w:t xml:space="preserve">0.046</w:t>
            </w:r>
          </w:p>
        </w:tc>
        <w:tc>
          <w:tcPr/>
          <w:p>
            <w:pPr>
              <w:pStyle w:val="Compact"/>
            </w:pPr>
            <w:r>
              <w:t xml:space="preserve">1.21</w:t>
            </w:r>
          </w:p>
        </w:tc>
        <w:tc>
          <w:tcPr/>
          <w:p>
            <w:pPr>
              <w:pStyle w:val="Compact"/>
            </w:pPr>
            <w:r>
              <w:t xml:space="preserve">0.96-1.54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 (T4)</w:t>
            </w:r>
          </w:p>
        </w:tc>
        <w:tc>
          <w:tcPr/>
          <w:p>
            <w:pPr>
              <w:pStyle w:val="Compact"/>
            </w:pPr>
            <w:r>
              <w:t xml:space="preserve">290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0.483</w:t>
            </w:r>
          </w:p>
        </w:tc>
        <w:tc>
          <w:tcPr/>
          <w:p>
            <w:pPr>
              <w:pStyle w:val="Compact"/>
            </w:pPr>
            <w:r>
              <w:t xml:space="preserve">0.024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</w:p>
        </w:tc>
        <w:tc>
          <w:tcPr/>
          <w:p>
            <w:pPr>
              <w:pStyle w:val="Compact"/>
            </w:pPr>
            <w:r>
              <w:t xml:space="preserve">0.93-1.27</w:t>
            </w:r>
          </w:p>
        </w:tc>
        <w:tc>
          <w:tcPr/>
          <w:p>
            <w:pPr>
              <w:pStyle w:val="Compact"/>
            </w:pPr>
            <w:r>
              <w:t xml:space="preserve">0.29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T2-T3 only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0.442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1.23</w:t>
            </w:r>
          </w:p>
        </w:tc>
        <w:tc>
          <w:tcPr/>
          <w:p>
            <w:pPr>
              <w:pStyle w:val="Compact"/>
            </w:pPr>
            <w:r>
              <w:t xml:space="preserve">0.96-1.56</w:t>
            </w:r>
          </w:p>
        </w:tc>
        <w:tc>
          <w:tcPr/>
          <w:p>
            <w:pPr>
              <w:pStyle w:val="Compact"/>
            </w:pPr>
            <w:r>
              <w:t xml:space="preserve">0.0978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Supplementary Table S7. Data-acquisition &amp; reproducibility checklist.</w:t>
      </w:r>
      <w:r>
        <w:t xml:space="preserve"> </w:t>
      </w:r>
      <w:r>
        <w:t xml:space="preserve">Accessions, tools, versions, script-to-result mapping (see manuscript Appendix and PIPELINE file).</w:t>
      </w:r>
    </w:p>
    <w:bookmarkEnd w:id="9"/>
    <w:bookmarkStart w:id="43" w:name="supplementary-figures"/>
    <w:p>
      <w:pPr>
        <w:pStyle w:val="Heading2"/>
      </w:pPr>
      <w:r>
        <w:t xml:space="preserve">Supplementary Figures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Supplementary Figure S1" title="" id="11" name="Picture"/>
            <a:graphic>
              <a:graphicData uri="http://schemas.openxmlformats.org/drawingml/2006/picture">
                <pic:pic>
                  <pic:nvPicPr>
                    <pic:cNvPr descr="results/scrna/UMAP_celltype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S1</w:t>
      </w:r>
    </w:p>
    <w:p>
      <w:pPr>
        <w:pStyle w:val="BodyText"/>
      </w:pPr>
      <w:r>
        <w:rPr>
          <w:b/>
          <w:bCs/>
        </w:rPr>
        <w:t xml:space="preserve">Supplementary Figure S1. Single-cell atlas (GSE134520).</w:t>
      </w:r>
      <w:r>
        <w:t xml:space="preserve"> </w:t>
      </w:r>
      <w:r>
        <w:t xml:space="preserve">UMAP of 43,992 cells from the premalignant-to-early-gastric-cancer cascade, coloured by the eight annotated major cell types (Epithelial 68.6%, Endothelial 7.6%, Myeloid 6.4%, Plasma 5.8%, T-cell 5.8%, Fibroblast 4.2%, Mast 1.0%, B-cell 0.6%). Provides the cellular reference underlying the module-localisation analysis (Figure 3C, §3.10). File:</w:t>
      </w:r>
      <w:r>
        <w:t xml:space="preserve"> </w:t>
      </w:r>
      <w:r>
        <w:rPr>
          <w:rStyle w:val="VerbatimChar"/>
        </w:rPr>
        <w:t xml:space="preserve">results/scrna/UMAP_celltypes.png</w:t>
      </w:r>
      <w:r>
        <w:t xml:space="preserve">.</w:t>
      </w:r>
    </w:p>
    <w:p>
      <w:pPr>
        <w:pStyle w:val="CaptionedFigure"/>
      </w:pPr>
      <w:r>
        <w:drawing>
          <wp:inline>
            <wp:extent cx="5334000" cy="6096000"/>
            <wp:effectExtent b="0" l="0" r="0" t="0"/>
            <wp:docPr descr="Supplementary Figure S2" title="" id="14" name="Picture"/>
            <a:graphic>
              <a:graphicData uri="http://schemas.openxmlformats.org/drawingml/2006/picture">
                <pic:pic>
                  <pic:nvPicPr>
                    <pic:cNvPr descr="results/scrna/DotPlot_stromal_module_hub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S2</w:t>
      </w:r>
    </w:p>
    <w:p>
      <w:pPr>
        <w:pStyle w:val="BodyText"/>
      </w:pPr>
      <w:r>
        <w:rPr>
          <w:b/>
          <w:bCs/>
        </w:rPr>
        <w:t xml:space="preserve">Supplementary Figure S2. Stromal hub-gene expression by cell type.</w:t>
      </w:r>
      <w:r>
        <w:t xml:space="preserve"> </w:t>
      </w:r>
      <w:r>
        <w:t xml:space="preserve">Dot plot of prognostic WGCNA red-module hub genes across the eight cell types (dot size = fraction of cells expressing; colour = scaled mean expression). Hub-gene expression is confined to the fibroblast compartment, providing the direct visual basis for the non-circular localisation result (all 23/23 non-annotation hub genes fibroblast-dominant; §3.10, Supplementary Table S5). File:</w:t>
      </w:r>
      <w:r>
        <w:t xml:space="preserve"> </w:t>
      </w:r>
      <w:r>
        <w:rPr>
          <w:rStyle w:val="VerbatimChar"/>
        </w:rPr>
        <w:t xml:space="preserve">results/scrna/DotPlot_stromal_module_hub.png</w:t>
      </w:r>
      <w:r>
        <w:t xml:space="preserve">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upplementary Figure S3" title="" id="17" name="Picture"/>
            <a:graphic>
              <a:graphicData uri="http://schemas.openxmlformats.org/drawingml/2006/picture">
                <pic:pic>
                  <pic:nvPicPr>
                    <pic:cNvPr descr="results/drug_repurposing_integrated/top_candidate_drug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S3</w:t>
      </w:r>
    </w:p>
    <w:p>
      <w:pPr>
        <w:pStyle w:val="BodyText"/>
      </w:pPr>
      <w:r>
        <w:rPr>
          <w:b/>
          <w:bCs/>
        </w:rPr>
        <w:t xml:space="preserve">Supplementary Figure S3. In-silico drug-repurposing candidates.</w:t>
      </w:r>
      <w:r>
        <w:t xml:space="preserve"> </w:t>
      </w:r>
      <w:r>
        <w:t xml:space="preserve">Top compounds whose transcriptional perturbation signature reverses the tumour-up/tumour-down programme on both arms (Enrichr against LINCS L1000 and GEO drug-perturbation libraries), ranked by combined score. Nominated classes are dominated by PI3K/mTOR (NVP-BEZ235), CDK4/6 (palbociclib) and FGFR/multikinase (PD-173074, dovitinib) inhibitors — anti-proliferative agents concordant with the proliferation-dominated signature. Hypothesis-generating only; no experimental validation (§3.11). File:</w:t>
      </w:r>
      <w:r>
        <w:t xml:space="preserve"> </w:t>
      </w:r>
      <w:r>
        <w:rPr>
          <w:rStyle w:val="VerbatimChar"/>
        </w:rPr>
        <w:t xml:space="preserve">results/drug_repurposing_integrated/top_candidate_drugs.png</w:t>
      </w:r>
      <w:r>
        <w:t xml:space="preserve">.</w:t>
      </w:r>
    </w:p>
    <w:p>
      <w:pPr>
        <w:pStyle w:val="CaptionedFigure"/>
      </w:pPr>
      <w:r>
        <w:drawing>
          <wp:inline>
            <wp:extent cx="5334000" cy="2370666"/>
            <wp:effectExtent b="0" l="0" r="0" t="0"/>
            <wp:docPr descr="Supplementary Figure S4" title="" id="20" name="Picture"/>
            <a:graphic>
              <a:graphicData uri="http://schemas.openxmlformats.org/drawingml/2006/picture">
                <pic:pic>
                  <pic:nvPicPr>
                    <pic:cNvPr descr="results/enrichment/path_ORA_GO_KEGG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S4</w:t>
      </w:r>
    </w:p>
    <w:p>
      <w:pPr>
        <w:pStyle w:val="BodyText"/>
      </w:pPr>
      <w:r>
        <w:rPr>
          <w:b/>
          <w:bCs/>
        </w:rPr>
        <w:t xml:space="preserve">Supplementary Figure S4. Over-representation analysis (GO:BP and KEGG, tumour-up genes).</w:t>
      </w:r>
      <w:r>
        <w:t xml:space="preserve"> </w:t>
      </w:r>
      <w:r>
        <w:t xml:space="preserve">clusterProfiler ORA dot plots for the tumour-up gene set (dot size = gene count; colour = adjusted p). Cell-cycle/nuclear-division and ECM-receptor/cytokine terms dominate, concordant with the proliferation and stromal programmes. Note that ORA depends on the significance threshold and is sensitive to gene-family size — the prominent</w:t>
      </w:r>
      <w:r>
        <w:t xml:space="preserve"> </w:t>
      </w:r>
      <w:r>
        <w:t xml:space="preserve">“olfactory/sensory-perception”</w:t>
      </w:r>
      <w:r>
        <w:t xml:space="preserve"> </w:t>
      </w:r>
      <w:r>
        <w:t xml:space="preserve">terms reflect the large olfactory-receptor family rather than tumour biology; the threshold-free GSEA in Figure 1 is therefore the primary enrichment method, with ORA shown for completeness (§3.2). Files:</w:t>
      </w:r>
      <w:r>
        <w:t xml:space="preserve"> </w:t>
      </w:r>
      <w:r>
        <w:rPr>
          <w:rStyle w:val="VerbatimChar"/>
        </w:rPr>
        <w:t xml:space="preserve">results/enrichment/dotplot_GO_BP_UP.png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results/enrichment/dotplot_KEGG_UP.png</w:t>
      </w:r>
      <w:r>
        <w:t xml:space="preserve">.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Supplementary Figure S5" title="" id="23" name="Picture"/>
            <a:graphic>
              <a:graphicData uri="http://schemas.openxmlformats.org/drawingml/2006/picture">
                <pic:pic>
                  <pic:nvPicPr>
                    <pic:cNvPr descr="results/mr_real/scatter_H__pylori_IgG_seropositivit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S5</w:t>
      </w:r>
    </w:p>
    <w:p>
      <w:pPr>
        <w:pStyle w:val="BodyText"/>
      </w:pPr>
      <w:r>
        <w:rPr>
          <w:b/>
          <w:bCs/>
        </w:rPr>
        <w:t xml:space="preserve">Supplementary Figure S5. Mendelian-randomisation scatter (representative exposure).</w:t>
      </w:r>
      <w:r>
        <w:t xml:space="preserve"> </w:t>
      </w:r>
      <w:r>
        <w:t xml:space="preserve">SNP-exposure vs SNP-outcome effects for anti-</w:t>
      </w:r>
      <w:r>
        <w:rPr>
          <w:i/>
          <w:iCs/>
        </w:rPr>
        <w:t xml:space="preserve">H. pylori</w:t>
      </w:r>
      <w:r>
        <w:t xml:space="preserve"> </w:t>
      </w:r>
      <w:r>
        <w:t xml:space="preserve">IgG seropositivity on gastric cancer, with the five MR method slopes overlaid (IVW, MR-Egger, weighted median, weighted mode, simple mode). All slopes are flat and indistinguishable from zero (IVW OR 0.96, 0.71–1.30; §3.9). Analogous plots for all six exposures in both ancestries are in</w:t>
      </w:r>
      <w:r>
        <w:t xml:space="preserve"> </w:t>
      </w:r>
      <w:r>
        <w:rPr>
          <w:rStyle w:val="VerbatimChar"/>
        </w:rPr>
        <w:t xml:space="preserve">results/mr_real/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results/mr_real_eas/</w:t>
      </w:r>
      <w:r>
        <w:t xml:space="preserve">. File:</w:t>
      </w:r>
      <w:r>
        <w:t xml:space="preserve"> </w:t>
      </w:r>
      <w:r>
        <w:rPr>
          <w:rStyle w:val="VerbatimChar"/>
        </w:rPr>
        <w:t xml:space="preserve">results/mr_real/scatter_H__pylori_IgG_seropositivity.png</w:t>
      </w:r>
      <w:r>
        <w:t xml:space="preserve">.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Supplementary Figure S6" title="" id="26" name="Picture"/>
            <a:graphic>
              <a:graphicData uri="http://schemas.openxmlformats.org/drawingml/2006/picture">
                <pic:pic>
                  <pic:nvPicPr>
                    <pic:cNvPr descr="results/mr_real/loo_H__pylori_IgG_seropositivit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S6</w:t>
      </w:r>
    </w:p>
    <w:p>
      <w:pPr>
        <w:pStyle w:val="BodyText"/>
      </w:pPr>
      <w:r>
        <w:rPr>
          <w:b/>
          <w:bCs/>
        </w:rPr>
        <w:t xml:space="preserve">Supplementary Figure S6. Mendelian-randomisation leave-one-out (representative exposure).</w:t>
      </w:r>
      <w:r>
        <w:t xml:space="preserve"> </w:t>
      </w:r>
      <w:r>
        <w:t xml:space="preserve">Leave-one-out IVW estimates for anti-</w:t>
      </w:r>
      <w:r>
        <w:rPr>
          <w:i/>
          <w:iCs/>
        </w:rPr>
        <w:t xml:space="preserve">H. pylori</w:t>
      </w:r>
      <w:r>
        <w:t xml:space="preserve"> </w:t>
      </w:r>
      <w:r>
        <w:t xml:space="preserve">IgG seropositivity: removing any single SNP leaves the pooled estimate straddling the null, confirming no individual instrument drives the result (§3.9). File:</w:t>
      </w:r>
      <w:r>
        <w:t xml:space="preserve"> </w:t>
      </w:r>
      <w:r>
        <w:rPr>
          <w:rStyle w:val="VerbatimChar"/>
        </w:rPr>
        <w:t xml:space="preserve">results/mr_real/loo_H__pylori_IgG_seropositivity.png</w:t>
      </w:r>
      <w:r>
        <w:t xml:space="preserve">.</w:t>
      </w:r>
    </w:p>
    <w:p>
      <w:pPr>
        <w:pStyle w:val="CaptionedFigure"/>
      </w:pPr>
      <w:r>
        <w:drawing>
          <wp:inline>
            <wp:extent cx="5334000" cy="3055441"/>
            <wp:effectExtent b="0" l="0" r="0" t="0"/>
            <wp:docPr descr="Supplementary Figure S7" title="" id="29" name="Picture"/>
            <a:graphic>
              <a:graphicData uri="http://schemas.openxmlformats.org/drawingml/2006/picture">
                <pic:pic>
                  <pic:nvPicPr>
                    <pic:cNvPr descr="results/microbiome_biomarker/da_clr_barplo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5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S7</w:t>
      </w:r>
    </w:p>
    <w:p>
      <w:pPr>
        <w:pStyle w:val="BodyText"/>
      </w:pPr>
      <w:r>
        <w:rPr>
          <w:b/>
          <w:bCs/>
        </w:rPr>
        <w:t xml:space="preserve">Supplementary Figure S7. Tissue-microbiome compositional differential abundance.</w:t>
      </w:r>
      <w:r>
        <w:t xml:space="preserve"> </w:t>
      </w:r>
      <w:r>
        <w:t xml:space="preserve">Centred-log-ratio (CLR) effect sizes for the two discovery-cohort contrasts (Wilcoxon, Benjamini–Hochberg): (left) control vs cancer-adjacent mucosa (44/61 genera q&lt;0.05) and (right) paired cancer-adjacent vs tumour (18/61 genera q&lt;0.05). Bars coloured by direction where q&lt;0.05 (red enriched, blue depleted, grey n.s.); the twelve most enriched and depleted genera are shown per panel. These genus-level shifts are reported for completeness but, as detailed in §3.8, are confounded with sequencing batch in the tumour contrast and do not replicate in the independent batch-clean cohort, so they are not proposed as biomarkers. Files:</w:t>
      </w:r>
      <w:r>
        <w:t xml:space="preserve"> </w:t>
      </w:r>
      <w:r>
        <w:rPr>
          <w:rStyle w:val="VerbatimChar"/>
        </w:rPr>
        <w:t xml:space="preserve">results/microbiome_biomarker/04a_DA_control_vs_GCN.csv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04b_DA_GCN_vs_GCT_paired.csv</w:t>
      </w:r>
      <w:r>
        <w:t xml:space="preserve">.</w:t>
      </w:r>
    </w:p>
    <w:p>
      <w:pPr>
        <w:pStyle w:val="CaptionedFigure"/>
      </w:pPr>
      <w:r>
        <w:drawing>
          <wp:inline>
            <wp:extent cx="5334000" cy="4205914"/>
            <wp:effectExtent b="0" l="0" r="0" t="0"/>
            <wp:docPr descr="Supplementary Figure S8" title="" id="32" name="Picture"/>
            <a:graphic>
              <a:graphicData uri="http://schemas.openxmlformats.org/drawingml/2006/picture">
                <pic:pic>
                  <pic:nvPicPr>
                    <pic:cNvPr descr="results/composite_figures/s15_immun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5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S8</w:t>
      </w:r>
    </w:p>
    <w:p>
      <w:pPr>
        <w:pStyle w:val="BodyText"/>
      </w:pPr>
      <w:r>
        <w:rPr>
          <w:b/>
          <w:bCs/>
        </w:rPr>
        <w:t xml:space="preserve">Supplementary Figure S8. Immune infiltration, deconvolution validated against pathology.</w:t>
      </w:r>
      <w:r>
        <w:t xml:space="preserve"> </w:t>
      </w:r>
      <w:r>
        <w:t xml:space="preserve">(A) Deconvolution T-cell score versus the measured histological leukocyte fraction (Spearman ρ=0.67, p=3.6×10⁻³⁶), establishing that the expression-based estimates track true tissue composition. (B) Immune compartments, tumour versus normal — enrichment is dominated by the macrophage/monocyte lineage, with no net CD8⁺ gain. (C) Infiltration by molecular subtype (EBV/MSI most infiltrated, Kruskal–Wallis p&lt;10⁻⁶). (D) CD8⁺ score versus overall survival — not prognostic in this cohort (Cox HR 1.04, p=0.41), reported as observed (§3.3). Files:</w:t>
      </w:r>
      <w:r>
        <w:t xml:space="preserve"> </w:t>
      </w:r>
      <w:r>
        <w:rPr>
          <w:rStyle w:val="VerbatimChar"/>
        </w:rPr>
        <w:t xml:space="preserve">results/plots/Immune_*.png</w:t>
      </w:r>
      <w:r>
        <w:t xml:space="preserve">.</w:t>
      </w:r>
    </w:p>
    <w:p>
      <w:pPr>
        <w:pStyle w:val="CaptionedFigure"/>
      </w:pPr>
      <w:r>
        <w:drawing>
          <wp:inline>
            <wp:extent cx="5334000" cy="1636810"/>
            <wp:effectExtent b="0" l="0" r="0" t="0"/>
            <wp:docPr descr="Supplementary Figure S9" title="" id="35" name="Picture"/>
            <a:graphic>
              <a:graphicData uri="http://schemas.openxmlformats.org/drawingml/2006/picture">
                <pic:pic>
                  <pic:nvPicPr>
                    <pic:cNvPr descr="results/composite_figures/s17_nomogram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6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S9</w:t>
      </w:r>
    </w:p>
    <w:p>
      <w:pPr>
        <w:pStyle w:val="BodyText"/>
      </w:pPr>
      <w:r>
        <w:rPr>
          <w:b/>
          <w:bCs/>
        </w:rPr>
        <w:t xml:space="preserve">Supplementary Figure S9. Clinical nomogram, calibration and external decision-curve analysis.</w:t>
      </w:r>
      <w:r>
        <w:t xml:space="preserve"> </w:t>
      </w:r>
      <w:r>
        <w:t xml:space="preserve">(A) Combined clinical+signature nomogram for 1/3/5-year overall survival. (B) Calibration at 1/3/5 years (in-sample). (C) External decision-curve analysis in ACRG: both the clinical and the combined models carry net benefit over treat-all/treat-none, but their curves are essentially superimposed across the 5–40% threshold range, i.e. adding the signature confers no</w:t>
      </w:r>
      <w:r>
        <w:t xml:space="preserve"> </w:t>
      </w:r>
      <w:r>
        <w:rPr>
          <w:i/>
          <w:iCs/>
        </w:rPr>
        <w:t xml:space="preserve">incremental</w:t>
      </w:r>
      <w:r>
        <w:t xml:space="preserve"> </w:t>
      </w:r>
      <w:r>
        <w:t xml:space="preserve">net benefit over standard staging out-of-sample (§3.7). The nomogram is presented as an illustrative research tool, not a validated decision instrument. Files:</w:t>
      </w:r>
      <w:r>
        <w:t xml:space="preserve"> </w:t>
      </w:r>
      <w:r>
        <w:rPr>
          <w:rStyle w:val="VerbatimChar"/>
        </w:rPr>
        <w:t xml:space="preserve">results/nomogram_combined/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results/external_utility_ACRG/DCA_external.png</w:t>
      </w:r>
      <w:r>
        <w:t xml:space="preserve">.</w:t>
      </w:r>
    </w:p>
    <w:p>
      <w:pPr>
        <w:pStyle w:val="CaptionedFigure"/>
      </w:pPr>
      <w:r>
        <w:drawing>
          <wp:inline>
            <wp:extent cx="5334000" cy="3081034"/>
            <wp:effectExtent b="0" l="0" r="0" t="0"/>
            <wp:docPr descr="Supplementary Figure S10" title="" id="38" name="Picture"/>
            <a:graphic>
              <a:graphicData uri="http://schemas.openxmlformats.org/drawingml/2006/picture">
                <pic:pic>
                  <pic:nvPicPr>
                    <pic:cNvPr descr="results/composite_figures/s19_mr_loo_al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S10</w:t>
      </w:r>
    </w:p>
    <w:p>
      <w:pPr>
        <w:pStyle w:val="BodyText"/>
      </w:pPr>
      <w:r>
        <w:rPr>
          <w:b/>
          <w:bCs/>
        </w:rPr>
        <w:t xml:space="preserve">Supplementary Figure S10. Mendelian-randomisation leave-one-out — all six exposures.</w:t>
      </w:r>
      <w:r>
        <w:t xml:space="preserve"> </w:t>
      </w:r>
      <w:r>
        <w:t xml:space="preserve">Leave-one-out IVW estimates for each exposure: removing any single SNP leaves every pooled estimate straddling the null, confirming that no individual instrument drives any result and that the null is not an outlier artefact (§3.9). Files:</w:t>
      </w:r>
      <w:r>
        <w:t xml:space="preserve"> </w:t>
      </w:r>
      <w:r>
        <w:rPr>
          <w:rStyle w:val="VerbatimChar"/>
        </w:rPr>
        <w:t xml:space="preserve">results/mr_real/loo_*.png</w:t>
      </w:r>
      <w:r>
        <w:t xml:space="preserve">.</w:t>
      </w:r>
    </w:p>
    <w:p>
      <w:pPr>
        <w:pStyle w:val="CaptionedFigure"/>
      </w:pPr>
      <w:r>
        <w:drawing>
          <wp:inline>
            <wp:extent cx="5334000" cy="2428644"/>
            <wp:effectExtent b="0" l="0" r="0" t="0"/>
            <wp:docPr descr="Supplementary Figure S11" title="" id="41" name="Picture"/>
            <a:graphic>
              <a:graphicData uri="http://schemas.openxmlformats.org/drawingml/2006/picture">
                <pic:pic>
                  <pic:nvPicPr>
                    <pic:cNvPr descr="results/microbiome_biomarker/rf_batch_classifie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Supplementary Figure S11</w:t>
      </w:r>
    </w:p>
    <w:p>
      <w:pPr>
        <w:pStyle w:val="BodyText"/>
      </w:pPr>
      <w:r>
        <w:rPr>
          <w:b/>
          <w:bCs/>
        </w:rPr>
        <w:t xml:space="preserve">Supplementary Figure S11. The tumour-microbiome classifier is a batch artefact.</w:t>
      </w:r>
      <w:r>
        <w:t xml:space="preserve"> </w:t>
      </w:r>
      <w:r>
        <w:t xml:space="preserve">(A) Top fifteen genera ranked by mean decrease in Gini importance in the cancer-versus-control random forest; genera in red italic are environmental or skin contaminants (</w:t>
      </w:r>
      <w:r>
        <w:rPr>
          <w:i/>
          <w:iCs/>
        </w:rPr>
        <w:t xml:space="preserve">Dietzia</w:t>
      </w:r>
      <w:r>
        <w:t xml:space="preserve">,</w:t>
      </w:r>
      <w:r>
        <w:t xml:space="preserve"> </w:t>
      </w:r>
      <w:r>
        <w:rPr>
          <w:i/>
          <w:iCs/>
        </w:rPr>
        <w:t xml:space="preserve">Serinicoccus</w:t>
      </w:r>
      <w:r>
        <w:t xml:space="preserve">,</w:t>
      </w:r>
      <w:r>
        <w:t xml:space="preserve"> </w:t>
      </w:r>
      <w:r>
        <w:rPr>
          <w:i/>
          <w:iCs/>
        </w:rPr>
        <w:t xml:space="preserve">Methylobacterium–Methylorubrum</w:t>
      </w:r>
      <w:r>
        <w:t xml:space="preserve">,</w:t>
      </w:r>
      <w:r>
        <w:t xml:space="preserve"> </w:t>
      </w:r>
      <w:r>
        <w:rPr>
          <w:i/>
          <w:iCs/>
        </w:rPr>
        <w:t xml:space="preserve">Microbacterium</w:t>
      </w:r>
      <w:r>
        <w:t xml:space="preserve">,</w:t>
      </w:r>
      <w:r>
        <w:t xml:space="preserve"> </w:t>
      </w:r>
      <w:r>
        <w:rPr>
          <w:i/>
          <w:iCs/>
        </w:rPr>
        <w:t xml:space="preserve">Sphingomonas</w:t>
      </w:r>
      <w:r>
        <w:t xml:space="preserve">,</w:t>
      </w:r>
      <w:r>
        <w:t xml:space="preserve"> </w:t>
      </w:r>
      <w:r>
        <w:rPr>
          <w:i/>
          <w:iCs/>
        </w:rPr>
        <w:t xml:space="preserve">Serratia</w:t>
      </w:r>
      <w:r>
        <w:t xml:space="preserve">), not gut or oral commensals, and dominate the classifier. (B) The classifier’s apparent discrimination (cancer-versus-control AUC 0.92, 95% CI 0.90–0.94) is not biological: the same feature space predicts the sequencing flowcell among biologically-similar samples at 78% accuracy versus a 55% majority baseline (dotted line = chance). The apparent tumour signal therefore tracks sequencing batch rather than tumour biology (§3.8). Files:</w:t>
      </w:r>
      <w:r>
        <w:t xml:space="preserve"> </w:t>
      </w:r>
      <w:r>
        <w:rPr>
          <w:rStyle w:val="VerbatimChar"/>
        </w:rPr>
        <w:t xml:space="preserve">results/microbiome_biomarker/05_rf_importance.csv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05_rf_metrics_and_batch_sanity.csv</w:t>
      </w:r>
      <w:r>
        <w:t xml:space="preserve">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8" Target="media/rId28.png" /><Relationship Type="http://schemas.openxmlformats.org/officeDocument/2006/relationships/image" Id="rId40" Target="media/rId40.png" /><Relationship Type="http://schemas.openxmlformats.org/officeDocument/2006/relationships/image" Id="rId25" Target="media/rId25.png" /><Relationship Type="http://schemas.openxmlformats.org/officeDocument/2006/relationships/image" Id="rId22" Target="media/rId22.png" /><Relationship Type="http://schemas.openxmlformats.org/officeDocument/2006/relationships/image" Id="rId13" Target="media/rId13.png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2026-07-27T10:39:41Z</dcterms:created>
  <dcterms:modified xsi:type="dcterms:W3CDTF">2026-07-27T10:39:41Z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