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Corvane Fibre Networks - Q2 2026 management commentary</w:t>
      </w:r>
    </w:p>
    <w:p>
      <w:r>
        <w:t>Revenue reached €61.8m in the second quarter, 2% ahead of budget, supported by two new wavelength contracts on the Amsterdam-Frankfurt route. Adjusted operating result before D&amp;A was €34.1m.</w:t>
      </w:r>
    </w:p>
    <w:p>
      <w:r>
        <w:t>Capital expenditure was €28.7m, mainly the Hamburg ring extension. The re-phased capex plan is still with the board and is therefore not included in this pack.</w:t>
      </w:r>
    </w:p>
    <w:p>
      <w:pPr>
        <w:pStyle w:val="Heading2"/>
      </w:pPr>
      <w:r>
        <w:t>Key risks</w:t>
      </w:r>
    </w:p>
    <w:p>
      <w:pPr>
        <w:pStyle w:val="ListBullet"/>
      </w:pPr>
      <w:r>
        <w:t>Construction cost inflation on the Hamburg ring (worse)</w:t>
      </w:r>
    </w:p>
    <w:p>
      <w:pPr>
        <w:pStyle w:val="ListBullet"/>
      </w:pPr>
      <w:r>
        <w:t>Customer concentration: top 3 customers = 41% of revenue (unchanged)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