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Verdan Recycling - H1 2026 trading update</w:t>
      </w:r>
    </w:p>
    <w:p>
      <w:r>
        <w:t>Second-quarter revenue grew 6% on the first quarter, driven by higher gate fees at the Avonmouth facility and stronger recovered-plastics prices. Year-to-date EBITDA is £35.2m.</w:t>
      </w:r>
    </w:p>
    <w:p>
      <w:r>
        <w:t>Leverage at 30 June was 3.0x against a 3.5x covenant. Headroom is tighter than we would like and we are prioritising cash generation in H2.</w:t>
      </w:r>
    </w:p>
    <w:p>
      <w:pPr>
        <w:pStyle w:val="Heading2"/>
      </w:pPr>
      <w:r>
        <w:t>Risks</w:t>
      </w:r>
    </w:p>
    <w:p>
      <w:pPr>
        <w:pStyle w:val="ListBullet"/>
      </w:pPr>
      <w:r>
        <w:t>Recovered-plastics price volatility (worse)</w:t>
      </w:r>
    </w:p>
    <w:p>
      <w:pPr>
        <w:pStyle w:val="ListBullet"/>
      </w:pPr>
      <w:r>
        <w:t>Landfill tax change from April 2027 (new)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