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Kestrel Point - Quarterly letter to the board, Q2 2026</w:t>
      </w:r>
    </w:p>
    <w:p>
      <w:r>
        <w:t>Assets under management ended the quarter at £9,785m, from £9,850m at the end of March. Gross sales of £410m were offset by redemptions of £690m, mostly from one pension client. Markets added £215m.</w:t>
      </w:r>
    </w:p>
    <w:p>
      <w:r>
        <w:t>We continue to see positive net flow momentum across the franchise, and the pipeline for H2 is encouraging.</w:t>
      </w:r>
    </w:p>
    <w:p>
      <w:r>
        <w:t>Net revenue for the quarter was £14.6m and operating costs were £12.1m, reflecting continued investment in the new client-reporting platform. Average AUM was £9,820m.</w:t>
      </w:r>
    </w:p>
    <w:p>
      <w:r>
        <w:t>The share of AUM ahead of benchmark is 38% over one year, 47% over three years and 52% over five.</w:t>
      </w:r>
    </w:p>
    <w:p>
      <w:pPr>
        <w:pStyle w:val="Heading2"/>
      </w:pPr>
      <w:r>
        <w:t>Summary table (£m)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Opening AUM</w:t>
            </w:r>
          </w:p>
        </w:tc>
        <w:tc>
          <w:tcPr>
            <w:tcW w:type="dxa" w:w="1728"/>
          </w:tcPr>
          <w:p>
            <w:r>
              <w:t>Sales</w:t>
            </w:r>
          </w:p>
        </w:tc>
        <w:tc>
          <w:tcPr>
            <w:tcW w:type="dxa" w:w="1728"/>
          </w:tcPr>
          <w:p>
            <w:r>
              <w:t>Redemptions</w:t>
            </w:r>
          </w:p>
        </w:tc>
        <w:tc>
          <w:tcPr>
            <w:tcW w:type="dxa" w:w="1728"/>
          </w:tcPr>
          <w:p>
            <w:r>
              <w:t>Market</w:t>
            </w:r>
          </w:p>
        </w:tc>
        <w:tc>
          <w:tcPr>
            <w:tcW w:type="dxa" w:w="1728"/>
          </w:tcPr>
          <w:p>
            <w:r>
              <w:t>Closing AUM</w:t>
            </w:r>
          </w:p>
        </w:tc>
      </w:tr>
      <w:tr>
        <w:tc>
          <w:tcPr>
            <w:tcW w:type="dxa" w:w="1728"/>
          </w:tcPr>
          <w:p>
            <w:r>
              <w:t>9,850</w:t>
            </w:r>
          </w:p>
        </w:tc>
        <w:tc>
          <w:tcPr>
            <w:tcW w:type="dxa" w:w="1728"/>
          </w:tcPr>
          <w:p>
            <w:r>
              <w:t>410</w:t>
            </w:r>
          </w:p>
        </w:tc>
        <w:tc>
          <w:tcPr>
            <w:tcW w:type="dxa" w:w="1728"/>
          </w:tcPr>
          <w:p>
            <w:r>
              <w:t>6,900</w:t>
            </w:r>
          </w:p>
        </w:tc>
        <w:tc>
          <w:tcPr>
            <w:tcW w:type="dxa" w:w="1728"/>
          </w:tcPr>
          <w:p>
            <w:r>
              <w:t>215</w:t>
            </w:r>
          </w:p>
        </w:tc>
        <w:tc>
          <w:tcPr>
            <w:tcW w:type="dxa" w:w="1728"/>
          </w:tcPr>
          <w:p>
            <w:r>
              <w:t>9,785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