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b/>
          <w:color w:val="0B2545"/>
          <w:sz w:val="50"/>
        </w:rPr>
        <w:t>AI-100 Candidate Expansion and Clustering Results Report</w:t>
      </w:r>
    </w:p>
    <w:p>
      <w:pPr>
        <w:spacing w:after="240"/>
      </w:pPr>
      <w:r>
        <w:rPr>
          <w:rFonts w:ascii="Arial" w:hAnsi="Arial"/>
          <w:color w:val="505050"/>
          <w:sz w:val="24"/>
        </w:rPr>
        <w:t>Which candidates reached the model, how the passages grouped, and why the current result remains exploratory</w:t>
      </w:r>
    </w:p>
    <w:p>
      <w:r>
        <w:rPr>
          <w:rFonts w:ascii="Arial" w:hAnsi="Arial"/>
          <w:color w:val="646464"/>
          <w:sz w:val="18"/>
        </w:rPr>
        <w:t>Status date: 2026-08-31 | Run: ai_100_overnight | Candidate expansion snapshot</w:t>
      </w:r>
    </w:p>
    <w:p>
      <w:pPr>
        <w:pStyle w:val="Heading1"/>
      </w:pPr>
      <w:r>
        <w:t>Executive summary</w:t>
      </w:r>
    </w:p>
    <w:p>
      <w:r>
        <w:t>This report explains what the 100-candidate expansion actually produced, which deals reached the unsupervised analysis, how the passages were grouped, and why the current groups cannot yet be treated as substantive employee-retention categories.</w:t>
      </w:r>
    </w:p>
    <w:p>
      <w:r>
        <w:t>The run contains 119 candidate rows: 100 selected candidates and 19 reserves. Of those, 35 are machine-qualified and pending human review, while 84 have no primary-source qualification. Only 13 deals produced included passages, yielding 72 passages for exploratory clustering. There are currently 0 human-verified qualifying AI transactions in this expansion. The topic result is rejected for release because one deal contributes 44.44% of passages, above the 35% concentration threshold.</w:t>
      </w:r>
    </w:p>
    <w:p>
      <w:r>
        <w:t>Actual funnel: 100 selected candidate slots -&gt; 35 machine-qualified pending human review -&gt; 13 deals with included passages -&gt; 72 passages -&gt; 3 exploratory topics. This is not a completed dataset of 100 verified deals.</w:t>
      </w:r>
    </w:p>
    <w:p>
      <w:pPr>
        <w:keepLines/>
        <w:spacing w:before="80" w:after="160"/>
        <w:ind w:left="173" w:right="173"/>
        <w:shd w:fill="E8EEF5"/>
      </w:pPr>
      <w:r>
        <w:rPr>
          <w:rFonts w:ascii="Arial" w:hAnsi="Arial"/>
          <w:b/>
          <w:color w:val="1F4D78"/>
          <w:sz w:val="20"/>
        </w:rPr>
        <w:t>The model grouped similar language. It did not determine that the deals used the same retention strategy, that the provisions worked, or that employees stayed.</w:t>
      </w:r>
    </w:p>
    <w:p>
      <w:pPr>
        <w:pStyle w:val="Heading1"/>
      </w:pPr>
      <w:r>
        <w:t>1. What the 100-candidate expansion actually produced</w:t>
      </w:r>
    </w:p>
    <w:tbl>
      <w:tblPr>
        <w:tblStyle w:val="TableGrid"/>
        <w:tblW w:type="auto" w:w="0"/>
        <w:tblLayout w:type="fixed"/>
        <w:tblLook w:firstColumn="1" w:firstRow="1" w:lastColumn="0" w:lastRow="0" w:noHBand="0" w:noVBand="1" w:val="04A0"/>
      </w:tblPr>
      <w:tblGrid>
        <w:gridCol w:w="2700"/>
        <w:gridCol w:w="1200"/>
        <w:gridCol w:w="5460"/>
      </w:tblGrid>
      <w:tr>
        <w:trPr>
          <w:cantSplit/>
          <w:tblHeader/>
        </w:trPr>
        <w:tc>
          <w:tcPr>
            <w:tcW w:type="dxa" w:w="2700"/>
            <w:shd w:fill="E8EEF5"/>
          </w:tcPr>
          <w:p>
            <w:pPr>
              <w:spacing w:after="0"/>
              <w:jc w:val="left"/>
            </w:pPr>
            <w:r/>
            <w:r>
              <w:rPr>
                <w:rFonts w:ascii="Arial" w:hAnsi="Arial"/>
                <w:b/>
                <w:sz w:val="17"/>
              </w:rPr>
              <w:t>Run level</w:t>
            </w:r>
          </w:p>
        </w:tc>
        <w:tc>
          <w:tcPr>
            <w:tcW w:type="dxa" w:w="1200"/>
            <w:shd w:fill="E8EEF5"/>
          </w:tcPr>
          <w:p>
            <w:pPr>
              <w:spacing w:after="0"/>
              <w:jc w:val="left"/>
            </w:pPr>
            <w:r/>
            <w:r>
              <w:rPr>
                <w:rFonts w:ascii="Arial" w:hAnsi="Arial"/>
                <w:b/>
                <w:sz w:val="17"/>
              </w:rPr>
              <w:t>Count</w:t>
            </w:r>
          </w:p>
        </w:tc>
        <w:tc>
          <w:tcPr>
            <w:tcW w:type="dxa" w:w="5460"/>
            <w:shd w:fill="E8EEF5"/>
          </w:tcPr>
          <w:p>
            <w:pPr>
              <w:spacing w:after="0"/>
              <w:jc w:val="left"/>
            </w:pPr>
            <w:r/>
            <w:r>
              <w:rPr>
                <w:rFonts w:ascii="Arial" w:hAnsi="Arial"/>
                <w:b/>
                <w:sz w:val="17"/>
              </w:rPr>
              <w:t>Meaning</w:t>
            </w:r>
          </w:p>
        </w:tc>
      </w:tr>
      <w:tr>
        <w:trPr>
          <w:cantSplit/>
        </w:trPr>
        <w:tc>
          <w:tcPr>
            <w:tcW w:type="dxa" w:w="2700"/>
          </w:tcPr>
          <w:p>
            <w:pPr>
              <w:spacing w:after="0"/>
            </w:pPr>
            <w:r/>
            <w:r>
              <w:rPr>
                <w:rFonts w:ascii="Arial" w:hAnsi="Arial"/>
                <w:b w:val="0"/>
                <w:sz w:val="17"/>
              </w:rPr>
              <w:t>Selected candidate slots</w:t>
            </w:r>
          </w:p>
        </w:tc>
        <w:tc>
          <w:tcPr>
            <w:tcW w:type="dxa" w:w="1200"/>
          </w:tcPr>
          <w:p>
            <w:pPr>
              <w:spacing w:after="0"/>
            </w:pPr>
            <w:r/>
            <w:r>
              <w:rPr>
                <w:rFonts w:ascii="Arial" w:hAnsi="Arial"/>
                <w:b w:val="0"/>
                <w:sz w:val="17"/>
              </w:rPr>
              <w:t>100</w:t>
            </w:r>
          </w:p>
        </w:tc>
        <w:tc>
          <w:tcPr>
            <w:tcW w:type="dxa" w:w="5460"/>
          </w:tcPr>
          <w:p>
            <w:pPr>
              <w:spacing w:after="0"/>
            </w:pPr>
            <w:r/>
            <w:r>
              <w:rPr>
                <w:rFonts w:ascii="Arial" w:hAnsi="Arial"/>
                <w:b w:val="0"/>
                <w:sz w:val="17"/>
              </w:rPr>
              <w:t>Screening target; not 100 completed or verified deals.</w:t>
            </w:r>
          </w:p>
        </w:tc>
      </w:tr>
      <w:tr>
        <w:trPr>
          <w:cantSplit/>
        </w:trPr>
        <w:tc>
          <w:tcPr>
            <w:tcW w:type="dxa" w:w="2700"/>
          </w:tcPr>
          <w:p>
            <w:pPr>
              <w:spacing w:after="0"/>
            </w:pPr>
            <w:r/>
            <w:r>
              <w:rPr>
                <w:rFonts w:ascii="Arial" w:hAnsi="Arial"/>
                <w:b w:val="0"/>
                <w:sz w:val="17"/>
              </w:rPr>
              <w:t>Reserve candidates</w:t>
            </w:r>
          </w:p>
        </w:tc>
        <w:tc>
          <w:tcPr>
            <w:tcW w:type="dxa" w:w="1200"/>
          </w:tcPr>
          <w:p>
            <w:pPr>
              <w:spacing w:after="0"/>
            </w:pPr>
            <w:r/>
            <w:r>
              <w:rPr>
                <w:rFonts w:ascii="Arial" w:hAnsi="Arial"/>
                <w:b w:val="0"/>
                <w:sz w:val="17"/>
              </w:rPr>
              <w:t>19</w:t>
            </w:r>
          </w:p>
        </w:tc>
        <w:tc>
          <w:tcPr>
            <w:tcW w:type="dxa" w:w="5460"/>
          </w:tcPr>
          <w:p>
            <w:pPr>
              <w:spacing w:after="0"/>
            </w:pPr>
            <w:r/>
            <w:r>
              <w:rPr>
                <w:rFonts w:ascii="Arial" w:hAnsi="Arial"/>
                <w:b w:val="0"/>
                <w:sz w:val="17"/>
              </w:rPr>
              <w:t>Backup rows included in the combined run.</w:t>
            </w:r>
          </w:p>
        </w:tc>
      </w:tr>
      <w:tr>
        <w:trPr>
          <w:cantSplit/>
        </w:trPr>
        <w:tc>
          <w:tcPr>
            <w:tcW w:type="dxa" w:w="2700"/>
          </w:tcPr>
          <w:p>
            <w:pPr>
              <w:spacing w:after="0"/>
            </w:pPr>
            <w:r/>
            <w:r>
              <w:rPr>
                <w:rFonts w:ascii="Arial" w:hAnsi="Arial"/>
                <w:b w:val="0"/>
                <w:sz w:val="17"/>
              </w:rPr>
              <w:t>Total candidate manifest rows</w:t>
            </w:r>
          </w:p>
        </w:tc>
        <w:tc>
          <w:tcPr>
            <w:tcW w:type="dxa" w:w="1200"/>
          </w:tcPr>
          <w:p>
            <w:pPr>
              <w:spacing w:after="0"/>
            </w:pPr>
            <w:r/>
            <w:r>
              <w:rPr>
                <w:rFonts w:ascii="Arial" w:hAnsi="Arial"/>
                <w:b w:val="0"/>
                <w:sz w:val="17"/>
              </w:rPr>
              <w:t>119</w:t>
            </w:r>
          </w:p>
        </w:tc>
        <w:tc>
          <w:tcPr>
            <w:tcW w:type="dxa" w:w="5460"/>
          </w:tcPr>
          <w:p>
            <w:pPr>
              <w:spacing w:after="0"/>
            </w:pPr>
            <w:r/>
            <w:r>
              <w:rPr>
                <w:rFonts w:ascii="Arial" w:hAnsi="Arial"/>
                <w:b w:val="0"/>
                <w:sz w:val="17"/>
              </w:rPr>
              <w:t>Includes qualifying, rejected, and unresolved rows.</w:t>
            </w:r>
          </w:p>
        </w:tc>
      </w:tr>
      <w:tr>
        <w:trPr>
          <w:cantSplit/>
        </w:trPr>
        <w:tc>
          <w:tcPr>
            <w:tcW w:type="dxa" w:w="2700"/>
          </w:tcPr>
          <w:p>
            <w:pPr>
              <w:spacing w:after="0"/>
            </w:pPr>
            <w:r/>
            <w:r>
              <w:rPr>
                <w:rFonts w:ascii="Arial" w:hAnsi="Arial"/>
                <w:b w:val="0"/>
                <w:sz w:val="17"/>
              </w:rPr>
              <w:t>Machine-qualified rows</w:t>
            </w:r>
          </w:p>
        </w:tc>
        <w:tc>
          <w:tcPr>
            <w:tcW w:type="dxa" w:w="1200"/>
          </w:tcPr>
          <w:p>
            <w:pPr>
              <w:spacing w:after="0"/>
            </w:pPr>
            <w:r/>
            <w:r>
              <w:rPr>
                <w:rFonts w:ascii="Arial" w:hAnsi="Arial"/>
                <w:b w:val="0"/>
                <w:sz w:val="17"/>
              </w:rPr>
              <w:t>35</w:t>
            </w:r>
          </w:p>
        </w:tc>
        <w:tc>
          <w:tcPr>
            <w:tcW w:type="dxa" w:w="5460"/>
          </w:tcPr>
          <w:p>
            <w:pPr>
              <w:spacing w:after="0"/>
            </w:pPr>
            <w:r/>
            <w:r>
              <w:rPr>
                <w:rFonts w:ascii="Arial" w:hAnsi="Arial"/>
                <w:b w:val="0"/>
                <w:sz w:val="17"/>
              </w:rPr>
              <w:t>Pending human review.</w:t>
            </w:r>
          </w:p>
        </w:tc>
      </w:tr>
      <w:tr>
        <w:trPr>
          <w:cantSplit/>
        </w:trPr>
        <w:tc>
          <w:tcPr>
            <w:tcW w:type="dxa" w:w="2700"/>
          </w:tcPr>
          <w:p>
            <w:pPr>
              <w:spacing w:after="0"/>
            </w:pPr>
            <w:r/>
            <w:r>
              <w:rPr>
                <w:rFonts w:ascii="Arial" w:hAnsi="Arial"/>
                <w:b w:val="0"/>
                <w:sz w:val="17"/>
              </w:rPr>
              <w:t>No-primary-source rows</w:t>
            </w:r>
          </w:p>
        </w:tc>
        <w:tc>
          <w:tcPr>
            <w:tcW w:type="dxa" w:w="1200"/>
          </w:tcPr>
          <w:p>
            <w:pPr>
              <w:spacing w:after="0"/>
            </w:pPr>
            <w:r/>
            <w:r>
              <w:rPr>
                <w:rFonts w:ascii="Arial" w:hAnsi="Arial"/>
                <w:b w:val="0"/>
                <w:sz w:val="17"/>
              </w:rPr>
              <w:t>84</w:t>
            </w:r>
          </w:p>
        </w:tc>
        <w:tc>
          <w:tcPr>
            <w:tcW w:type="dxa" w:w="5460"/>
          </w:tcPr>
          <w:p>
            <w:pPr>
              <w:spacing w:after="0"/>
            </w:pPr>
            <w:r/>
            <w:r>
              <w:rPr>
                <w:rFonts w:ascii="Arial" w:hAnsi="Arial"/>
                <w:b w:val="0"/>
                <w:sz w:val="17"/>
              </w:rPr>
              <w:t>Not counted as qualifying transactions.</w:t>
            </w:r>
          </w:p>
        </w:tc>
      </w:tr>
      <w:tr>
        <w:trPr>
          <w:cantSplit/>
        </w:trPr>
        <w:tc>
          <w:tcPr>
            <w:tcW w:type="dxa" w:w="2700"/>
          </w:tcPr>
          <w:p>
            <w:pPr>
              <w:spacing w:after="0"/>
            </w:pPr>
            <w:r/>
            <w:r>
              <w:rPr>
                <w:rFonts w:ascii="Arial" w:hAnsi="Arial"/>
                <w:b w:val="0"/>
                <w:sz w:val="17"/>
              </w:rPr>
              <w:t>Retrieved documents</w:t>
            </w:r>
          </w:p>
        </w:tc>
        <w:tc>
          <w:tcPr>
            <w:tcW w:type="dxa" w:w="1200"/>
          </w:tcPr>
          <w:p>
            <w:pPr>
              <w:spacing w:after="0"/>
            </w:pPr>
            <w:r/>
            <w:r>
              <w:rPr>
                <w:rFonts w:ascii="Arial" w:hAnsi="Arial"/>
                <w:b w:val="0"/>
                <w:sz w:val="17"/>
              </w:rPr>
              <w:t>1402</w:t>
            </w:r>
          </w:p>
        </w:tc>
        <w:tc>
          <w:tcPr>
            <w:tcW w:type="dxa" w:w="5460"/>
          </w:tcPr>
          <w:p>
            <w:pPr>
              <w:spacing w:after="0"/>
            </w:pPr>
            <w:r/>
            <w:r>
              <w:rPr>
                <w:rFonts w:ascii="Arial" w:hAnsi="Arial"/>
                <w:b w:val="0"/>
                <w:sz w:val="17"/>
              </w:rPr>
              <w:t>Includes 9 failed individual document retrievals.</w:t>
            </w:r>
          </w:p>
        </w:tc>
      </w:tr>
      <w:tr>
        <w:trPr>
          <w:cantSplit/>
        </w:trPr>
        <w:tc>
          <w:tcPr>
            <w:tcW w:type="dxa" w:w="2700"/>
          </w:tcPr>
          <w:p>
            <w:pPr>
              <w:spacing w:after="0"/>
            </w:pPr>
            <w:r/>
            <w:r>
              <w:rPr>
                <w:rFonts w:ascii="Arial" w:hAnsi="Arial"/>
                <w:b w:val="0"/>
                <w:sz w:val="17"/>
              </w:rPr>
              <w:t>Employee passages</w:t>
            </w:r>
          </w:p>
        </w:tc>
        <w:tc>
          <w:tcPr>
            <w:tcW w:type="dxa" w:w="1200"/>
          </w:tcPr>
          <w:p>
            <w:pPr>
              <w:spacing w:after="0"/>
            </w:pPr>
            <w:r/>
            <w:r>
              <w:rPr>
                <w:rFonts w:ascii="Arial" w:hAnsi="Arial"/>
                <w:b w:val="0"/>
                <w:sz w:val="17"/>
              </w:rPr>
              <w:t>72</w:t>
            </w:r>
          </w:p>
        </w:tc>
        <w:tc>
          <w:tcPr>
            <w:tcW w:type="dxa" w:w="5460"/>
          </w:tcPr>
          <w:p>
            <w:pPr>
              <w:spacing w:after="0"/>
            </w:pPr>
            <w:r/>
            <w:r>
              <w:rPr>
                <w:rFonts w:ascii="Arial" w:hAnsi="Arial"/>
                <w:b w:val="0"/>
                <w:sz w:val="17"/>
              </w:rPr>
              <w:t>Screened passages, not validated provisions.</w:t>
            </w:r>
          </w:p>
        </w:tc>
      </w:tr>
      <w:tr>
        <w:trPr>
          <w:cantSplit/>
        </w:trPr>
        <w:tc>
          <w:tcPr>
            <w:tcW w:type="dxa" w:w="2700"/>
          </w:tcPr>
          <w:p>
            <w:pPr>
              <w:spacing w:after="0"/>
            </w:pPr>
            <w:r/>
            <w:r>
              <w:rPr>
                <w:rFonts w:ascii="Arial" w:hAnsi="Arial"/>
                <w:b w:val="0"/>
                <w:sz w:val="17"/>
              </w:rPr>
              <w:t>Deals represented in topic assignments</w:t>
            </w:r>
          </w:p>
        </w:tc>
        <w:tc>
          <w:tcPr>
            <w:tcW w:type="dxa" w:w="1200"/>
          </w:tcPr>
          <w:p>
            <w:pPr>
              <w:spacing w:after="0"/>
            </w:pPr>
            <w:r/>
            <w:r>
              <w:rPr>
                <w:rFonts w:ascii="Arial" w:hAnsi="Arial"/>
                <w:b w:val="0"/>
                <w:sz w:val="17"/>
              </w:rPr>
              <w:t>13</w:t>
            </w:r>
          </w:p>
        </w:tc>
        <w:tc>
          <w:tcPr>
            <w:tcW w:type="dxa" w:w="5460"/>
          </w:tcPr>
          <w:p>
            <w:pPr>
              <w:spacing w:after="0"/>
            </w:pPr>
            <w:r/>
            <w:r>
              <w:rPr>
                <w:rFonts w:ascii="Arial" w:hAnsi="Arial"/>
                <w:b w:val="0"/>
                <w:sz w:val="17"/>
              </w:rPr>
              <w:t>Only deals with passages entered the model output.</w:t>
            </w:r>
          </w:p>
        </w:tc>
      </w:tr>
    </w:tbl>
    <w:p>
      <w:pPr>
        <w:spacing w:after="0"/>
      </w:pPr>
    </w:p>
    <w:p>
      <w:r>
        <w:t>The complete 119-row manifest is preserved in data/published/ai_100_overnight/frozen_ai_manifest.csv. The 100 selected rows and 19 reserves are candidate records, not 119 verified deals. The 35 machine-qualified rows still require human review, and only 13 deals produced passages for the current model output.</w:t>
      </w:r>
    </w:p>
    <w:p>
      <w:pPr>
        <w:pStyle w:val="Heading2"/>
      </w:pPr>
      <w:r>
        <w:t>Deals that produced passages</w:t>
      </w:r>
    </w:p>
    <w:p>
      <w:r>
        <w:t>These are the 13 deals represented in the current topic assignments. They are a processed subset of the candidate expansion, not a complete 100-deal results set. The remaining machine-qualified rows did not produce included passages in this run.</w:t>
      </w:r>
    </w:p>
    <w:tbl>
      <w:tblPr>
        <w:tblStyle w:val="TableGrid"/>
        <w:tblW w:type="auto" w:w="0"/>
        <w:tblLayout w:type="fixed"/>
        <w:tblLook w:firstColumn="1" w:firstRow="1" w:lastColumn="0" w:lastRow="0" w:noHBand="0" w:noVBand="1" w:val="04A0"/>
      </w:tblPr>
      <w:tblGrid>
        <w:gridCol w:w="3200"/>
        <w:gridCol w:w="1000"/>
        <w:gridCol w:w="3900"/>
        <w:gridCol w:w="1260"/>
      </w:tblGrid>
      <w:tr>
        <w:trPr>
          <w:cantSplit/>
          <w:tblHeader/>
        </w:trPr>
        <w:tc>
          <w:tcPr>
            <w:tcW w:type="dxa" w:w="3200"/>
            <w:shd w:fill="E8EEF5"/>
          </w:tcPr>
          <w:p>
            <w:pPr>
              <w:spacing w:after="0"/>
              <w:jc w:val="left"/>
            </w:pPr>
            <w:r/>
            <w:r>
              <w:rPr>
                <w:rFonts w:ascii="Arial" w:hAnsi="Arial"/>
                <w:b/>
                <w:sz w:val="15"/>
              </w:rPr>
              <w:t>Deal</w:t>
            </w:r>
          </w:p>
        </w:tc>
        <w:tc>
          <w:tcPr>
            <w:tcW w:type="dxa" w:w="1000"/>
            <w:shd w:fill="E8EEF5"/>
          </w:tcPr>
          <w:p>
            <w:pPr>
              <w:spacing w:after="0"/>
              <w:jc w:val="left"/>
            </w:pPr>
            <w:r/>
            <w:r>
              <w:rPr>
                <w:rFonts w:ascii="Arial" w:hAnsi="Arial"/>
                <w:b/>
                <w:sz w:val="15"/>
              </w:rPr>
              <w:t>Passages</w:t>
            </w:r>
          </w:p>
        </w:tc>
        <w:tc>
          <w:tcPr>
            <w:tcW w:type="dxa" w:w="3900"/>
            <w:shd w:fill="E8EEF5"/>
          </w:tcPr>
          <w:p>
            <w:pPr>
              <w:spacing w:after="0"/>
              <w:jc w:val="left"/>
            </w:pPr>
            <w:r/>
            <w:r>
              <w:rPr>
                <w:rFonts w:ascii="Arial" w:hAnsi="Arial"/>
                <w:b/>
                <w:sz w:val="15"/>
              </w:rPr>
              <w:t>Dominant topic</w:t>
            </w:r>
          </w:p>
        </w:tc>
        <w:tc>
          <w:tcPr>
            <w:tcW w:type="dxa" w:w="1260"/>
            <w:shd w:fill="E8EEF5"/>
          </w:tcPr>
          <w:p>
            <w:pPr>
              <w:spacing w:after="0"/>
              <w:jc w:val="left"/>
            </w:pPr>
            <w:r/>
            <w:r>
              <w:rPr>
                <w:rFonts w:ascii="Arial" w:hAnsi="Arial"/>
                <w:b/>
                <w:sz w:val="15"/>
              </w:rPr>
              <w:t>Share</w:t>
            </w:r>
          </w:p>
        </w:tc>
      </w:tr>
      <w:tr>
        <w:trPr>
          <w:cantSplit/>
        </w:trPr>
        <w:tc>
          <w:tcPr>
            <w:tcW w:type="dxa" w:w="3200"/>
          </w:tcPr>
          <w:p>
            <w:pPr>
              <w:spacing w:after="0"/>
            </w:pPr>
            <w:r/>
            <w:r>
              <w:rPr>
                <w:rFonts w:ascii="Arial" w:hAnsi="Arial"/>
                <w:b w:val="0"/>
                <w:sz w:val="15"/>
              </w:rPr>
              <w:t>Zebra Technologies Corp - Fetch Robotics Inc</w:t>
            </w:r>
          </w:p>
        </w:tc>
        <w:tc>
          <w:tcPr>
            <w:tcW w:type="dxa" w:w="1000"/>
          </w:tcPr>
          <w:p>
            <w:pPr>
              <w:spacing w:after="0"/>
            </w:pPr>
            <w:r/>
            <w:r>
              <w:rPr>
                <w:rFonts w:ascii="Arial" w:hAnsi="Arial"/>
                <w:b w:val="0"/>
                <w:sz w:val="15"/>
              </w:rPr>
              <w:t>32</w:t>
            </w:r>
          </w:p>
        </w:tc>
        <w:tc>
          <w:tcPr>
            <w:tcW w:type="dxa" w:w="3900"/>
          </w:tcPr>
          <w:p>
            <w:pPr>
              <w:spacing w:after="0"/>
            </w:pPr>
            <w:r/>
            <w:r>
              <w:rPr>
                <w:rFonts w:ascii="Arial" w:hAnsi="Arial"/>
                <w:b w:val="0"/>
                <w:sz w:val="15"/>
              </w:rPr>
              <w:t>Topic 1: worker/productivity language</w:t>
            </w:r>
          </w:p>
        </w:tc>
        <w:tc>
          <w:tcPr>
            <w:tcW w:type="dxa" w:w="1260"/>
          </w:tcPr>
          <w:p>
            <w:pPr>
              <w:spacing w:after="0"/>
            </w:pPr>
            <w:r/>
            <w:r>
              <w:rPr>
                <w:rFonts w:ascii="Arial" w:hAnsi="Arial"/>
                <w:b w:val="0"/>
                <w:sz w:val="15"/>
              </w:rPr>
              <w:t>57.0%</w:t>
            </w:r>
          </w:p>
        </w:tc>
      </w:tr>
      <w:tr>
        <w:trPr>
          <w:cantSplit/>
        </w:trPr>
        <w:tc>
          <w:tcPr>
            <w:tcW w:type="dxa" w:w="3200"/>
          </w:tcPr>
          <w:p>
            <w:pPr>
              <w:spacing w:after="0"/>
            </w:pPr>
            <w:r/>
            <w:r>
              <w:rPr>
                <w:rFonts w:ascii="Arial" w:hAnsi="Arial"/>
                <w:b w:val="0"/>
                <w:sz w:val="15"/>
              </w:rPr>
              <w:t>Glia Technologies Inc - Finn AI</w:t>
            </w:r>
          </w:p>
        </w:tc>
        <w:tc>
          <w:tcPr>
            <w:tcW w:type="dxa" w:w="1000"/>
          </w:tcPr>
          <w:p>
            <w:pPr>
              <w:spacing w:after="0"/>
            </w:pPr>
            <w:r/>
            <w:r>
              <w:rPr>
                <w:rFonts w:ascii="Arial" w:hAnsi="Arial"/>
                <w:b w:val="0"/>
                <w:sz w:val="15"/>
              </w:rPr>
              <w:t>6</w:t>
            </w:r>
          </w:p>
        </w:tc>
        <w:tc>
          <w:tcPr>
            <w:tcW w:type="dxa" w:w="3900"/>
          </w:tcPr>
          <w:p>
            <w:pPr>
              <w:spacing w:after="0"/>
            </w:pPr>
            <w:r/>
            <w:r>
              <w:rPr>
                <w:rFonts w:ascii="Arial" w:hAnsi="Arial"/>
                <w:b w:val="0"/>
                <w:sz w:val="15"/>
              </w:rPr>
              <w:t>Topic 3: generic AI/company language</w:t>
            </w:r>
          </w:p>
        </w:tc>
        <w:tc>
          <w:tcPr>
            <w:tcW w:type="dxa" w:w="1260"/>
          </w:tcPr>
          <w:p>
            <w:pPr>
              <w:spacing w:after="0"/>
            </w:pPr>
            <w:r/>
            <w:r>
              <w:rPr>
                <w:rFonts w:ascii="Arial" w:hAnsi="Arial"/>
                <w:b w:val="0"/>
                <w:sz w:val="15"/>
              </w:rPr>
              <w:t>94.2%</w:t>
            </w:r>
          </w:p>
        </w:tc>
      </w:tr>
      <w:tr>
        <w:trPr>
          <w:cantSplit/>
        </w:trPr>
        <w:tc>
          <w:tcPr>
            <w:tcW w:type="dxa" w:w="3200"/>
          </w:tcPr>
          <w:p>
            <w:pPr>
              <w:spacing w:after="0"/>
            </w:pPr>
            <w:r/>
            <w:r>
              <w:rPr>
                <w:rFonts w:ascii="Arial" w:hAnsi="Arial"/>
                <w:b w:val="0"/>
                <w:sz w:val="15"/>
              </w:rPr>
              <w:t>Velodyne Lidar Inc - Bluecity.ai</w:t>
            </w:r>
          </w:p>
        </w:tc>
        <w:tc>
          <w:tcPr>
            <w:tcW w:type="dxa" w:w="1000"/>
          </w:tcPr>
          <w:p>
            <w:pPr>
              <w:spacing w:after="0"/>
            </w:pPr>
            <w:r/>
            <w:r>
              <w:rPr>
                <w:rFonts w:ascii="Arial" w:hAnsi="Arial"/>
                <w:b w:val="0"/>
                <w:sz w:val="15"/>
              </w:rPr>
              <w:t>6</w:t>
            </w:r>
          </w:p>
        </w:tc>
        <w:tc>
          <w:tcPr>
            <w:tcW w:type="dxa" w:w="3900"/>
          </w:tcPr>
          <w:p>
            <w:pPr>
              <w:spacing w:after="0"/>
            </w:pPr>
            <w:r/>
            <w:r>
              <w:rPr>
                <w:rFonts w:ascii="Arial" w:hAnsi="Arial"/>
                <w:b w:val="0"/>
                <w:sz w:val="15"/>
              </w:rPr>
              <w:t>Topic 3: generic AI/company language</w:t>
            </w:r>
          </w:p>
        </w:tc>
        <w:tc>
          <w:tcPr>
            <w:tcW w:type="dxa" w:w="1260"/>
          </w:tcPr>
          <w:p>
            <w:pPr>
              <w:spacing w:after="0"/>
            </w:pPr>
            <w:r/>
            <w:r>
              <w:rPr>
                <w:rFonts w:ascii="Arial" w:hAnsi="Arial"/>
                <w:b w:val="0"/>
                <w:sz w:val="15"/>
              </w:rPr>
              <w:t>89.4%</w:t>
            </w:r>
          </w:p>
        </w:tc>
      </w:tr>
      <w:tr>
        <w:trPr>
          <w:cantSplit/>
        </w:trPr>
        <w:tc>
          <w:tcPr>
            <w:tcW w:type="dxa" w:w="3200"/>
          </w:tcPr>
          <w:p>
            <w:pPr>
              <w:spacing w:after="0"/>
            </w:pPr>
            <w:r/>
            <w:r>
              <w:rPr>
                <w:rFonts w:ascii="Arial" w:hAnsi="Arial"/>
                <w:b w:val="0"/>
                <w:sz w:val="15"/>
              </w:rPr>
              <w:t>Alphabet Inc - Kaggle Inc</w:t>
            </w:r>
          </w:p>
        </w:tc>
        <w:tc>
          <w:tcPr>
            <w:tcW w:type="dxa" w:w="1000"/>
          </w:tcPr>
          <w:p>
            <w:pPr>
              <w:spacing w:after="0"/>
            </w:pPr>
            <w:r/>
            <w:r>
              <w:rPr>
                <w:rFonts w:ascii="Arial" w:hAnsi="Arial"/>
                <w:b w:val="0"/>
                <w:sz w:val="15"/>
              </w:rPr>
              <w:t>4</w:t>
            </w:r>
          </w:p>
        </w:tc>
        <w:tc>
          <w:tcPr>
            <w:tcW w:type="dxa" w:w="3900"/>
          </w:tcPr>
          <w:p>
            <w:pPr>
              <w:spacing w:after="0"/>
            </w:pPr>
            <w:r/>
            <w:r>
              <w:rPr>
                <w:rFonts w:ascii="Arial" w:hAnsi="Arial"/>
                <w:b w:val="0"/>
                <w:sz w:val="15"/>
              </w:rPr>
              <w:t>Topic 3: generic AI/company language</w:t>
            </w:r>
          </w:p>
        </w:tc>
        <w:tc>
          <w:tcPr>
            <w:tcW w:type="dxa" w:w="1260"/>
          </w:tcPr>
          <w:p>
            <w:pPr>
              <w:spacing w:after="0"/>
            </w:pPr>
            <w:r/>
            <w:r>
              <w:rPr>
                <w:rFonts w:ascii="Arial" w:hAnsi="Arial"/>
                <w:b w:val="0"/>
                <w:sz w:val="15"/>
              </w:rPr>
              <w:t>70.2%</w:t>
            </w:r>
          </w:p>
        </w:tc>
      </w:tr>
      <w:tr>
        <w:trPr>
          <w:cantSplit/>
        </w:trPr>
        <w:tc>
          <w:tcPr>
            <w:tcW w:type="dxa" w:w="3200"/>
          </w:tcPr>
          <w:p>
            <w:pPr>
              <w:spacing w:after="0"/>
            </w:pPr>
            <w:r/>
            <w:r>
              <w:rPr>
                <w:rFonts w:ascii="Arial" w:hAnsi="Arial"/>
                <w:b w:val="0"/>
                <w:sz w:val="15"/>
              </w:rPr>
              <w:t>Leanplum Inc - Connecto.ai</w:t>
            </w:r>
          </w:p>
        </w:tc>
        <w:tc>
          <w:tcPr>
            <w:tcW w:type="dxa" w:w="1000"/>
          </w:tcPr>
          <w:p>
            <w:pPr>
              <w:spacing w:after="0"/>
            </w:pPr>
            <w:r/>
            <w:r>
              <w:rPr>
                <w:rFonts w:ascii="Arial" w:hAnsi="Arial"/>
                <w:b w:val="0"/>
                <w:sz w:val="15"/>
              </w:rPr>
              <w:t>4</w:t>
            </w:r>
          </w:p>
        </w:tc>
        <w:tc>
          <w:tcPr>
            <w:tcW w:type="dxa" w:w="3900"/>
          </w:tcPr>
          <w:p>
            <w:pPr>
              <w:spacing w:after="0"/>
            </w:pPr>
            <w:r/>
            <w:r>
              <w:rPr>
                <w:rFonts w:ascii="Arial" w:hAnsi="Arial"/>
                <w:b w:val="0"/>
                <w:sz w:val="15"/>
              </w:rPr>
              <w:t>Topic 3: generic AI/company language</w:t>
            </w:r>
          </w:p>
        </w:tc>
        <w:tc>
          <w:tcPr>
            <w:tcW w:type="dxa" w:w="1260"/>
          </w:tcPr>
          <w:p>
            <w:pPr>
              <w:spacing w:after="0"/>
            </w:pPr>
            <w:r/>
            <w:r>
              <w:rPr>
                <w:rFonts w:ascii="Arial" w:hAnsi="Arial"/>
                <w:b w:val="0"/>
                <w:sz w:val="15"/>
              </w:rPr>
              <w:t>63.6%</w:t>
            </w:r>
          </w:p>
        </w:tc>
      </w:tr>
      <w:tr>
        <w:trPr>
          <w:cantSplit/>
        </w:trPr>
        <w:tc>
          <w:tcPr>
            <w:tcW w:type="dxa" w:w="3200"/>
          </w:tcPr>
          <w:p>
            <w:pPr>
              <w:spacing w:after="0"/>
            </w:pPr>
            <w:r/>
            <w:r>
              <w:rPr>
                <w:rFonts w:ascii="Arial" w:hAnsi="Arial"/>
                <w:b w:val="0"/>
                <w:sz w:val="15"/>
              </w:rPr>
              <w:t>Algolia Inc - MorphL AI Inc</w:t>
            </w:r>
          </w:p>
        </w:tc>
        <w:tc>
          <w:tcPr>
            <w:tcW w:type="dxa" w:w="1000"/>
          </w:tcPr>
          <w:p>
            <w:pPr>
              <w:spacing w:after="0"/>
            </w:pPr>
            <w:r/>
            <w:r>
              <w:rPr>
                <w:rFonts w:ascii="Arial" w:hAnsi="Arial"/>
                <w:b w:val="0"/>
                <w:sz w:val="15"/>
              </w:rPr>
              <w:t>4</w:t>
            </w:r>
          </w:p>
        </w:tc>
        <w:tc>
          <w:tcPr>
            <w:tcW w:type="dxa" w:w="3900"/>
          </w:tcPr>
          <w:p>
            <w:pPr>
              <w:spacing w:after="0"/>
            </w:pPr>
            <w:r/>
            <w:r>
              <w:rPr>
                <w:rFonts w:ascii="Arial" w:hAnsi="Arial"/>
                <w:b w:val="0"/>
                <w:sz w:val="15"/>
              </w:rPr>
              <w:t>Topic 3: generic AI/company language</w:t>
            </w:r>
          </w:p>
        </w:tc>
        <w:tc>
          <w:tcPr>
            <w:tcW w:type="dxa" w:w="1260"/>
          </w:tcPr>
          <w:p>
            <w:pPr>
              <w:spacing w:after="0"/>
            </w:pPr>
            <w:r/>
            <w:r>
              <w:rPr>
                <w:rFonts w:ascii="Arial" w:hAnsi="Arial"/>
                <w:b w:val="0"/>
                <w:sz w:val="15"/>
              </w:rPr>
              <w:t>96.8%</w:t>
            </w:r>
          </w:p>
        </w:tc>
      </w:tr>
      <w:tr>
        <w:trPr>
          <w:cantSplit/>
        </w:trPr>
        <w:tc>
          <w:tcPr>
            <w:tcW w:type="dxa" w:w="3200"/>
          </w:tcPr>
          <w:p>
            <w:pPr>
              <w:spacing w:after="0"/>
            </w:pPr>
            <w:r/>
            <w:r>
              <w:rPr>
                <w:rFonts w:ascii="Arial" w:hAnsi="Arial"/>
                <w:b w:val="0"/>
                <w:sz w:val="15"/>
              </w:rPr>
              <w:t>HubSpot Inc - Motion Ai Inc</w:t>
            </w:r>
          </w:p>
        </w:tc>
        <w:tc>
          <w:tcPr>
            <w:tcW w:type="dxa" w:w="1000"/>
          </w:tcPr>
          <w:p>
            <w:pPr>
              <w:spacing w:after="0"/>
            </w:pPr>
            <w:r/>
            <w:r>
              <w:rPr>
                <w:rFonts w:ascii="Arial" w:hAnsi="Arial"/>
                <w:b w:val="0"/>
                <w:sz w:val="15"/>
              </w:rPr>
              <w:t>3</w:t>
            </w:r>
          </w:p>
        </w:tc>
        <w:tc>
          <w:tcPr>
            <w:tcW w:type="dxa" w:w="3900"/>
          </w:tcPr>
          <w:p>
            <w:pPr>
              <w:spacing w:after="0"/>
            </w:pPr>
            <w:r/>
            <w:r>
              <w:rPr>
                <w:rFonts w:ascii="Arial" w:hAnsi="Arial"/>
                <w:b w:val="0"/>
                <w:sz w:val="15"/>
              </w:rPr>
              <w:t>Topic 3: generic AI/company language</w:t>
            </w:r>
          </w:p>
        </w:tc>
        <w:tc>
          <w:tcPr>
            <w:tcW w:type="dxa" w:w="1260"/>
          </w:tcPr>
          <w:p>
            <w:pPr>
              <w:spacing w:after="0"/>
            </w:pPr>
            <w:r/>
            <w:r>
              <w:rPr>
                <w:rFonts w:ascii="Arial" w:hAnsi="Arial"/>
                <w:b w:val="0"/>
                <w:sz w:val="15"/>
              </w:rPr>
              <w:t>74.6%</w:t>
            </w:r>
          </w:p>
        </w:tc>
      </w:tr>
      <w:tr>
        <w:trPr>
          <w:cantSplit/>
        </w:trPr>
        <w:tc>
          <w:tcPr>
            <w:tcW w:type="dxa" w:w="3200"/>
          </w:tcPr>
          <w:p>
            <w:pPr>
              <w:spacing w:after="0"/>
            </w:pPr>
            <w:r/>
            <w:r>
              <w:rPr>
                <w:rFonts w:ascii="Arial" w:hAnsi="Arial"/>
                <w:b w:val="0"/>
                <w:sz w:val="15"/>
              </w:rPr>
              <w:t>Smartsheet Inc - Converse.AI Inc</w:t>
            </w:r>
          </w:p>
        </w:tc>
        <w:tc>
          <w:tcPr>
            <w:tcW w:type="dxa" w:w="1000"/>
          </w:tcPr>
          <w:p>
            <w:pPr>
              <w:spacing w:after="0"/>
            </w:pPr>
            <w:r/>
            <w:r>
              <w:rPr>
                <w:rFonts w:ascii="Arial" w:hAnsi="Arial"/>
                <w:b w:val="0"/>
                <w:sz w:val="15"/>
              </w:rPr>
              <w:t>3</w:t>
            </w:r>
          </w:p>
        </w:tc>
        <w:tc>
          <w:tcPr>
            <w:tcW w:type="dxa" w:w="3900"/>
          </w:tcPr>
          <w:p>
            <w:pPr>
              <w:spacing w:after="0"/>
            </w:pPr>
            <w:r/>
            <w:r>
              <w:rPr>
                <w:rFonts w:ascii="Arial" w:hAnsi="Arial"/>
                <w:b w:val="0"/>
                <w:sz w:val="15"/>
              </w:rPr>
              <w:t>Topic 3: generic AI/company language</w:t>
            </w:r>
          </w:p>
        </w:tc>
        <w:tc>
          <w:tcPr>
            <w:tcW w:type="dxa" w:w="1260"/>
          </w:tcPr>
          <w:p>
            <w:pPr>
              <w:spacing w:after="0"/>
            </w:pPr>
            <w:r/>
            <w:r>
              <w:rPr>
                <w:rFonts w:ascii="Arial" w:hAnsi="Arial"/>
                <w:b w:val="0"/>
                <w:sz w:val="15"/>
              </w:rPr>
              <w:t>91.1%</w:t>
            </w:r>
          </w:p>
        </w:tc>
      </w:tr>
      <w:tr>
        <w:trPr>
          <w:cantSplit/>
        </w:trPr>
        <w:tc>
          <w:tcPr>
            <w:tcW w:type="dxa" w:w="3200"/>
          </w:tcPr>
          <w:p>
            <w:pPr>
              <w:spacing w:after="0"/>
            </w:pPr>
            <w:r/>
            <w:r>
              <w:rPr>
                <w:rFonts w:ascii="Arial" w:hAnsi="Arial"/>
                <w:b w:val="0"/>
                <w:sz w:val="15"/>
              </w:rPr>
              <w:t>AppHarvest Inc - Root AI Inc</w:t>
            </w:r>
          </w:p>
        </w:tc>
        <w:tc>
          <w:tcPr>
            <w:tcW w:type="dxa" w:w="1000"/>
          </w:tcPr>
          <w:p>
            <w:pPr>
              <w:spacing w:after="0"/>
            </w:pPr>
            <w:r/>
            <w:r>
              <w:rPr>
                <w:rFonts w:ascii="Arial" w:hAnsi="Arial"/>
                <w:b w:val="0"/>
                <w:sz w:val="15"/>
              </w:rPr>
              <w:t>3</w:t>
            </w:r>
          </w:p>
        </w:tc>
        <w:tc>
          <w:tcPr>
            <w:tcW w:type="dxa" w:w="3900"/>
          </w:tcPr>
          <w:p>
            <w:pPr>
              <w:spacing w:after="0"/>
            </w:pPr>
            <w:r/>
            <w:r>
              <w:rPr>
                <w:rFonts w:ascii="Arial" w:hAnsi="Arial"/>
                <w:b w:val="0"/>
                <w:sz w:val="15"/>
              </w:rPr>
              <w:t>Topic 3: generic AI/company language</w:t>
            </w:r>
          </w:p>
        </w:tc>
        <w:tc>
          <w:tcPr>
            <w:tcW w:type="dxa" w:w="1260"/>
          </w:tcPr>
          <w:p>
            <w:pPr>
              <w:spacing w:after="0"/>
            </w:pPr>
            <w:r/>
            <w:r>
              <w:rPr>
                <w:rFonts w:ascii="Arial" w:hAnsi="Arial"/>
                <w:b w:val="0"/>
                <w:sz w:val="15"/>
              </w:rPr>
              <w:t>98.2%</w:t>
            </w:r>
          </w:p>
        </w:tc>
      </w:tr>
      <w:tr>
        <w:trPr>
          <w:cantSplit/>
        </w:trPr>
        <w:tc>
          <w:tcPr>
            <w:tcW w:type="dxa" w:w="3200"/>
          </w:tcPr>
          <w:p>
            <w:pPr>
              <w:spacing w:after="0"/>
            </w:pPr>
            <w:r/>
            <w:r>
              <w:rPr>
                <w:rFonts w:ascii="Arial" w:hAnsi="Arial"/>
                <w:b w:val="0"/>
                <w:sz w:val="15"/>
              </w:rPr>
              <w:t>365 Retail Markets LLC - Stockwell AI Inc</w:t>
            </w:r>
          </w:p>
        </w:tc>
        <w:tc>
          <w:tcPr>
            <w:tcW w:type="dxa" w:w="1000"/>
          </w:tcPr>
          <w:p>
            <w:pPr>
              <w:spacing w:after="0"/>
            </w:pPr>
            <w:r/>
            <w:r>
              <w:rPr>
                <w:rFonts w:ascii="Arial" w:hAnsi="Arial"/>
                <w:b w:val="0"/>
                <w:sz w:val="15"/>
              </w:rPr>
              <w:t>2</w:t>
            </w:r>
          </w:p>
        </w:tc>
        <w:tc>
          <w:tcPr>
            <w:tcW w:type="dxa" w:w="3900"/>
          </w:tcPr>
          <w:p>
            <w:pPr>
              <w:spacing w:after="0"/>
            </w:pPr>
            <w:r/>
            <w:r>
              <w:rPr>
                <w:rFonts w:ascii="Arial" w:hAnsi="Arial"/>
                <w:b w:val="0"/>
                <w:sz w:val="15"/>
              </w:rPr>
              <w:t>Topic 3: generic AI/company language</w:t>
            </w:r>
          </w:p>
        </w:tc>
        <w:tc>
          <w:tcPr>
            <w:tcW w:type="dxa" w:w="1260"/>
          </w:tcPr>
          <w:p>
            <w:pPr>
              <w:spacing w:after="0"/>
            </w:pPr>
            <w:r/>
            <w:r>
              <w:rPr>
                <w:rFonts w:ascii="Arial" w:hAnsi="Arial"/>
                <w:b w:val="0"/>
                <w:sz w:val="15"/>
              </w:rPr>
              <w:t>78.3%</w:t>
            </w:r>
          </w:p>
        </w:tc>
      </w:tr>
      <w:tr>
        <w:trPr>
          <w:cantSplit/>
        </w:trPr>
        <w:tc>
          <w:tcPr>
            <w:tcW w:type="dxa" w:w="3200"/>
          </w:tcPr>
          <w:p>
            <w:pPr>
              <w:spacing w:after="0"/>
            </w:pPr>
            <w:r/>
            <w:r>
              <w:rPr>
                <w:rFonts w:ascii="Arial" w:hAnsi="Arial"/>
                <w:b w:val="0"/>
                <w:sz w:val="15"/>
              </w:rPr>
              <w:t>Fortinet Inc - Sken Ai</w:t>
            </w:r>
          </w:p>
        </w:tc>
        <w:tc>
          <w:tcPr>
            <w:tcW w:type="dxa" w:w="1000"/>
          </w:tcPr>
          <w:p>
            <w:pPr>
              <w:spacing w:after="0"/>
            </w:pPr>
            <w:r/>
            <w:r>
              <w:rPr>
                <w:rFonts w:ascii="Arial" w:hAnsi="Arial"/>
                <w:b w:val="0"/>
                <w:sz w:val="15"/>
              </w:rPr>
              <w:t>2</w:t>
            </w:r>
          </w:p>
        </w:tc>
        <w:tc>
          <w:tcPr>
            <w:tcW w:type="dxa" w:w="3900"/>
          </w:tcPr>
          <w:p>
            <w:pPr>
              <w:spacing w:after="0"/>
            </w:pPr>
            <w:r/>
            <w:r>
              <w:rPr>
                <w:rFonts w:ascii="Arial" w:hAnsi="Arial"/>
                <w:b w:val="0"/>
                <w:sz w:val="15"/>
              </w:rPr>
              <w:t>Topic 3: generic AI/company language</w:t>
            </w:r>
          </w:p>
        </w:tc>
        <w:tc>
          <w:tcPr>
            <w:tcW w:type="dxa" w:w="1260"/>
          </w:tcPr>
          <w:p>
            <w:pPr>
              <w:spacing w:after="0"/>
            </w:pPr>
            <w:r/>
            <w:r>
              <w:rPr>
                <w:rFonts w:ascii="Arial" w:hAnsi="Arial"/>
                <w:b w:val="0"/>
                <w:sz w:val="15"/>
              </w:rPr>
              <w:t>100.0%</w:t>
            </w:r>
          </w:p>
        </w:tc>
      </w:tr>
      <w:tr>
        <w:trPr>
          <w:cantSplit/>
        </w:trPr>
        <w:tc>
          <w:tcPr>
            <w:tcW w:type="dxa" w:w="3200"/>
          </w:tcPr>
          <w:p>
            <w:pPr>
              <w:spacing w:after="0"/>
            </w:pPr>
            <w:r/>
            <w:r>
              <w:rPr>
                <w:rFonts w:ascii="Arial" w:hAnsi="Arial"/>
                <w:b w:val="0"/>
                <w:sz w:val="15"/>
              </w:rPr>
              <w:t>IBM Corp - Databand.ai Ltd</w:t>
            </w:r>
          </w:p>
        </w:tc>
        <w:tc>
          <w:tcPr>
            <w:tcW w:type="dxa" w:w="1000"/>
          </w:tcPr>
          <w:p>
            <w:pPr>
              <w:spacing w:after="0"/>
            </w:pPr>
            <w:r/>
            <w:r>
              <w:rPr>
                <w:rFonts w:ascii="Arial" w:hAnsi="Arial"/>
                <w:b w:val="0"/>
                <w:sz w:val="15"/>
              </w:rPr>
              <w:t>2</w:t>
            </w:r>
          </w:p>
        </w:tc>
        <w:tc>
          <w:tcPr>
            <w:tcW w:type="dxa" w:w="3900"/>
          </w:tcPr>
          <w:p>
            <w:pPr>
              <w:spacing w:after="0"/>
            </w:pPr>
            <w:r/>
            <w:r>
              <w:rPr>
                <w:rFonts w:ascii="Arial" w:hAnsi="Arial"/>
                <w:b w:val="0"/>
                <w:sz w:val="15"/>
              </w:rPr>
              <w:t>Topic 3: generic AI/company language</w:t>
            </w:r>
          </w:p>
        </w:tc>
        <w:tc>
          <w:tcPr>
            <w:tcW w:type="dxa" w:w="1260"/>
          </w:tcPr>
          <w:p>
            <w:pPr>
              <w:spacing w:after="0"/>
            </w:pPr>
            <w:r/>
            <w:r>
              <w:rPr>
                <w:rFonts w:ascii="Arial" w:hAnsi="Arial"/>
                <w:b w:val="0"/>
                <w:sz w:val="15"/>
              </w:rPr>
              <w:t>100.0%</w:t>
            </w:r>
          </w:p>
        </w:tc>
      </w:tr>
      <w:tr>
        <w:trPr>
          <w:cantSplit/>
        </w:trPr>
        <w:tc>
          <w:tcPr>
            <w:tcW w:type="dxa" w:w="3200"/>
          </w:tcPr>
          <w:p>
            <w:pPr>
              <w:spacing w:after="0"/>
            </w:pPr>
            <w:r/>
            <w:r>
              <w:rPr>
                <w:rFonts w:ascii="Arial" w:hAnsi="Arial"/>
                <w:b w:val="0"/>
                <w:sz w:val="15"/>
              </w:rPr>
              <w:t>Sensory Inc - Vocalize AI Inc</w:t>
            </w:r>
          </w:p>
        </w:tc>
        <w:tc>
          <w:tcPr>
            <w:tcW w:type="dxa" w:w="1000"/>
          </w:tcPr>
          <w:p>
            <w:pPr>
              <w:spacing w:after="0"/>
            </w:pPr>
            <w:r/>
            <w:r>
              <w:rPr>
                <w:rFonts w:ascii="Arial" w:hAnsi="Arial"/>
                <w:b w:val="0"/>
                <w:sz w:val="15"/>
              </w:rPr>
              <w:t>1</w:t>
            </w:r>
          </w:p>
        </w:tc>
        <w:tc>
          <w:tcPr>
            <w:tcW w:type="dxa" w:w="3900"/>
          </w:tcPr>
          <w:p>
            <w:pPr>
              <w:spacing w:after="0"/>
            </w:pPr>
            <w:r/>
            <w:r>
              <w:rPr>
                <w:rFonts w:ascii="Arial" w:hAnsi="Arial"/>
                <w:b w:val="0"/>
                <w:sz w:val="15"/>
              </w:rPr>
              <w:t>Topic 3: generic AI/company language</w:t>
            </w:r>
          </w:p>
        </w:tc>
        <w:tc>
          <w:tcPr>
            <w:tcW w:type="dxa" w:w="1260"/>
          </w:tcPr>
          <w:p>
            <w:pPr>
              <w:spacing w:after="0"/>
            </w:pPr>
            <w:r/>
            <w:r>
              <w:rPr>
                <w:rFonts w:ascii="Arial" w:hAnsi="Arial"/>
                <w:b w:val="0"/>
                <w:sz w:val="15"/>
              </w:rPr>
              <w:t>100.0%</w:t>
            </w:r>
          </w:p>
        </w:tc>
      </w:tr>
    </w:tbl>
    <w:p>
      <w:pPr>
        <w:spacing w:after="0"/>
      </w:pPr>
    </w:p>
    <w:p>
      <w:pPr>
        <w:pStyle w:val="Heading2"/>
      </w:pPr>
      <w:r>
        <w:t>Why most candidates did not reach the model</w:t>
      </w:r>
    </w:p>
    <w:p>
      <w:r>
        <w:t>The unresolved/rejected rows were preserved rather than silently dropped. These rows did not reach the current passage/model stage. The main missingness reasons were:</w:t>
      </w:r>
    </w:p>
    <w:p>
      <w:pPr>
        <w:pStyle w:val="ListBullet"/>
        <w:spacing w:after="40"/>
      </w:pPr>
      <w:r>
        <w:t>57 acquirers could not be resolved on EDGAR.</w:t>
      </w:r>
    </w:p>
    <w:p>
      <w:pPr>
        <w:pStyle w:val="ListBullet"/>
        <w:spacing w:after="40"/>
      </w:pPr>
      <w:r>
        <w:t>18 rows mentioned the target but lacked paragraph-local AI evidence.</w:t>
      </w:r>
    </w:p>
    <w:p>
      <w:pPr>
        <w:pStyle w:val="ListBullet"/>
        <w:spacing w:after="40"/>
      </w:pPr>
      <w:r>
        <w:t>7 rows had no target mention in retrieved documents.</w:t>
      </w:r>
    </w:p>
    <w:p>
      <w:pPr>
        <w:pStyle w:val="ListBullet"/>
        <w:spacing w:after="40"/>
      </w:pPr>
      <w:r>
        <w:t>2 rows had no documents retrieved for the deal.</w:t>
      </w:r>
    </w:p>
    <w:p>
      <w:r>
        <w:t>These are evidence-screening outcomes, not proof that the underlying transaction was not AI-related.</w:t>
      </w:r>
    </w:p>
    <w:p>
      <w:pPr>
        <w:pStyle w:val="Heading1"/>
      </w:pPr>
      <w:r>
        <w:t>2. How the unsupervised model worked</w:t>
      </w:r>
    </w:p>
    <w:p>
      <w:r>
        <w:t>The expansion used the following sequence:</w:t>
      </w:r>
    </w:p>
    <w:p>
      <w:pPr>
        <w:pStyle w:val="ListNumber"/>
        <w:spacing w:after="40"/>
      </w:pPr>
      <w:r>
        <w:t>Retrieve target-linked SEC or approved official-source documents.</w:t>
      </w:r>
    </w:p>
    <w:p>
      <w:pPr>
        <w:pStyle w:val="ListNumber"/>
        <w:spacing w:after="40"/>
      </w:pPr>
      <w:r>
        <w:t>Extract and screen employee-related or transaction-linked passages.</w:t>
      </w:r>
    </w:p>
    <w:p>
      <w:pPr>
        <w:pStyle w:val="ListNumber"/>
        <w:spacing w:after="40"/>
      </w:pPr>
      <w:r>
        <w:t>Remove exact duplicate text and exclude common English or HTML-layout tokens.</w:t>
      </w:r>
    </w:p>
    <w:p>
      <w:pPr>
        <w:pStyle w:val="ListNumber"/>
        <w:spacing w:after="40"/>
      </w:pPr>
      <w:r>
        <w:t>Convert passages into word and bigram TF-IDF vectors.</w:t>
      </w:r>
    </w:p>
    <w:p>
      <w:pPr>
        <w:pStyle w:val="ListNumber"/>
        <w:spacing w:after="40"/>
      </w:pPr>
      <w:r>
        <w:t>Fit NMF models for K = 3, 4, 5, 6, and 7 using a fixed seed.</w:t>
      </w:r>
    </w:p>
    <w:p>
      <w:pPr>
        <w:pStyle w:val="ListNumber"/>
        <w:spacing w:after="40"/>
      </w:pPr>
      <w:r>
        <w:t>Select the candidate K with the best deterministic half-sample stability.</w:t>
      </w:r>
    </w:p>
    <w:p>
      <w:pPr>
        <w:pStyle w:val="ListNumber"/>
        <w:spacing w:after="40"/>
      </w:pPr>
      <w:r>
        <w:t>Assign each passage a dominant topic and a normalized weight across all topics.</w:t>
      </w:r>
    </w:p>
    <w:p>
      <w:pPr>
        <w:pStyle w:val="ListNumber"/>
        <w:spacing w:after="40"/>
      </w:pPr>
      <w:r>
        <w:t>Aggregate passage weights back to deals for descriptive comparison.</w:t>
      </w:r>
    </w:p>
    <w:p>
      <w:pPr>
        <w:pStyle w:val="ListNumber"/>
        <w:spacing w:after="40"/>
      </w:pPr>
      <w:r>
        <w:t>Compare NMF assignments with cosine/average agglomerative clustering and leave-one-deal-out term stability.</w:t>
      </w:r>
    </w:p>
    <w:p>
      <w:r>
        <w:t>The selected configuration was K = 3, with half-sample stability 0.2464. This was lexical topic exploration, not semantic understanding.</w:t>
      </w:r>
    </w:p>
    <w:p>
      <w:pPr>
        <w:pStyle w:val="Heading1"/>
      </w:pPr>
      <w:r>
        <w:t>3. What the three clusters contain</w:t>
      </w:r>
    </w:p>
    <w:tbl>
      <w:tblPr>
        <w:tblStyle w:val="TableGrid"/>
        <w:tblW w:type="auto" w:w="0"/>
        <w:tblLayout w:type="fixed"/>
        <w:tblLook w:firstColumn="1" w:firstRow="1" w:lastColumn="0" w:lastRow="0" w:noHBand="0" w:noVBand="1" w:val="04A0"/>
      </w:tblPr>
      <w:tblGrid>
        <w:gridCol w:w="1800"/>
        <w:gridCol w:w="800"/>
        <w:gridCol w:w="700"/>
        <w:gridCol w:w="2200"/>
        <w:gridCol w:w="3860"/>
      </w:tblGrid>
      <w:tr>
        <w:trPr>
          <w:cantSplit/>
          <w:tblHeader/>
        </w:trPr>
        <w:tc>
          <w:tcPr>
            <w:tcW w:type="dxa" w:w="1800"/>
            <w:shd w:fill="E8EEF5"/>
          </w:tcPr>
          <w:p>
            <w:pPr>
              <w:spacing w:after="0"/>
              <w:jc w:val="left"/>
            </w:pPr>
            <w:r/>
            <w:r>
              <w:rPr>
                <w:rFonts w:ascii="Arial" w:hAnsi="Arial"/>
                <w:b/>
                <w:sz w:val="14"/>
              </w:rPr>
              <w:t>Topic</w:t>
            </w:r>
          </w:p>
        </w:tc>
        <w:tc>
          <w:tcPr>
            <w:tcW w:type="dxa" w:w="800"/>
            <w:shd w:fill="E8EEF5"/>
          </w:tcPr>
          <w:p>
            <w:pPr>
              <w:spacing w:after="0"/>
              <w:jc w:val="left"/>
            </w:pPr>
            <w:r/>
            <w:r>
              <w:rPr>
                <w:rFonts w:ascii="Arial" w:hAnsi="Arial"/>
                <w:b/>
                <w:sz w:val="14"/>
              </w:rPr>
              <w:t>Passages</w:t>
            </w:r>
          </w:p>
        </w:tc>
        <w:tc>
          <w:tcPr>
            <w:tcW w:type="dxa" w:w="700"/>
            <w:shd w:fill="E8EEF5"/>
          </w:tcPr>
          <w:p>
            <w:pPr>
              <w:spacing w:after="0"/>
              <w:jc w:val="left"/>
            </w:pPr>
            <w:r/>
            <w:r>
              <w:rPr>
                <w:rFonts w:ascii="Arial" w:hAnsi="Arial"/>
                <w:b/>
                <w:sz w:val="14"/>
              </w:rPr>
              <w:t>Deals</w:t>
            </w:r>
          </w:p>
        </w:tc>
        <w:tc>
          <w:tcPr>
            <w:tcW w:type="dxa" w:w="2200"/>
            <w:shd w:fill="E8EEF5"/>
          </w:tcPr>
          <w:p>
            <w:pPr>
              <w:spacing w:after="0"/>
              <w:jc w:val="left"/>
            </w:pPr>
            <w:r/>
            <w:r>
              <w:rPr>
                <w:rFonts w:ascii="Arial" w:hAnsi="Arial"/>
                <w:b/>
                <w:sz w:val="14"/>
              </w:rPr>
              <w:t>Top terms</w:t>
            </w:r>
          </w:p>
        </w:tc>
        <w:tc>
          <w:tcPr>
            <w:tcW w:type="dxa" w:w="3860"/>
            <w:shd w:fill="E8EEF5"/>
          </w:tcPr>
          <w:p>
            <w:pPr>
              <w:spacing w:after="0"/>
              <w:jc w:val="left"/>
            </w:pPr>
            <w:r/>
            <w:r>
              <w:rPr>
                <w:rFonts w:ascii="Arial" w:hAnsi="Arial"/>
                <w:b/>
                <w:sz w:val="14"/>
              </w:rPr>
              <w:t>Why grouped</w:t>
            </w:r>
          </w:p>
        </w:tc>
      </w:tr>
      <w:tr>
        <w:trPr>
          <w:cantSplit/>
        </w:trPr>
        <w:tc>
          <w:tcPr>
            <w:tcW w:type="dxa" w:w="1800"/>
          </w:tcPr>
          <w:p>
            <w:pPr>
              <w:spacing w:after="0"/>
            </w:pPr>
            <w:r/>
            <w:r>
              <w:rPr>
                <w:rFonts w:ascii="Arial" w:hAnsi="Arial"/>
                <w:b w:val="0"/>
                <w:sz w:val="14"/>
              </w:rPr>
              <w:t>Topic 1: worker/productivity language</w:t>
            </w:r>
          </w:p>
        </w:tc>
        <w:tc>
          <w:tcPr>
            <w:tcW w:type="dxa" w:w="800"/>
          </w:tcPr>
          <w:p>
            <w:pPr>
              <w:spacing w:after="0"/>
            </w:pPr>
            <w:r/>
            <w:r>
              <w:rPr>
                <w:rFonts w:ascii="Arial" w:hAnsi="Arial"/>
                <w:b w:val="0"/>
                <w:sz w:val="14"/>
              </w:rPr>
              <w:t>20</w:t>
            </w:r>
          </w:p>
        </w:tc>
        <w:tc>
          <w:tcPr>
            <w:tcW w:type="dxa" w:w="700"/>
          </w:tcPr>
          <w:p>
            <w:pPr>
              <w:spacing w:after="0"/>
            </w:pPr>
            <w:r/>
            <w:r>
              <w:rPr>
                <w:rFonts w:ascii="Arial" w:hAnsi="Arial"/>
                <w:b w:val="0"/>
                <w:sz w:val="14"/>
              </w:rPr>
              <w:t>1</w:t>
            </w:r>
          </w:p>
        </w:tc>
        <w:tc>
          <w:tcPr>
            <w:tcW w:type="dxa" w:w="2200"/>
          </w:tcPr>
          <w:p>
            <w:pPr>
              <w:spacing w:after="0"/>
            </w:pPr>
            <w:r/>
            <w:r>
              <w:rPr>
                <w:rFonts w:ascii="Arial" w:hAnsi="Arial"/>
                <w:b w:val="0"/>
                <w:sz w:val="14"/>
              </w:rPr>
              <w:t>zebra technologies,  technologies,  zebra,  workers,  front,  front line,  line,  productivity,  worker,  worker productivity,  line workers,  productivity zebra</w:t>
            </w:r>
          </w:p>
        </w:tc>
        <w:tc>
          <w:tcPr>
            <w:tcW w:type="dxa" w:w="3860"/>
          </w:tcPr>
          <w:p>
            <w:pPr>
              <w:spacing w:after="0"/>
            </w:pPr>
            <w:r/>
            <w:r>
              <w:rPr>
                <w:rFonts w:ascii="Arial" w:hAnsi="Arial"/>
                <w:b w:val="0"/>
                <w:sz w:val="14"/>
              </w:rPr>
              <w:t>Repeated Zebra/frontline-worker/productivity wording. All 20 passages come from the Zebra-Fetch source, so this is primarily document-specific vocabulary.</w:t>
            </w:r>
          </w:p>
        </w:tc>
      </w:tr>
      <w:tr>
        <w:trPr>
          <w:cantSplit/>
        </w:trPr>
        <w:tc>
          <w:tcPr>
            <w:tcW w:type="dxa" w:w="1800"/>
          </w:tcPr>
          <w:p>
            <w:pPr>
              <w:spacing w:after="0"/>
            </w:pPr>
            <w:r/>
            <w:r>
              <w:rPr>
                <w:rFonts w:ascii="Arial" w:hAnsi="Arial"/>
                <w:b w:val="0"/>
                <w:sz w:val="14"/>
              </w:rPr>
              <w:t>Topic 2: workforce-management language</w:t>
            </w:r>
          </w:p>
        </w:tc>
        <w:tc>
          <w:tcPr>
            <w:tcW w:type="dxa" w:w="800"/>
          </w:tcPr>
          <w:p>
            <w:pPr>
              <w:spacing w:after="0"/>
            </w:pPr>
            <w:r/>
            <w:r>
              <w:rPr>
                <w:rFonts w:ascii="Arial" w:hAnsi="Arial"/>
                <w:b w:val="0"/>
                <w:sz w:val="14"/>
              </w:rPr>
              <w:t>10</w:t>
            </w:r>
          </w:p>
        </w:tc>
        <w:tc>
          <w:tcPr>
            <w:tcW w:type="dxa" w:w="700"/>
          </w:tcPr>
          <w:p>
            <w:pPr>
              <w:spacing w:after="0"/>
            </w:pPr>
            <w:r/>
            <w:r>
              <w:rPr>
                <w:rFonts w:ascii="Arial" w:hAnsi="Arial"/>
                <w:b w:val="0"/>
                <w:sz w:val="14"/>
              </w:rPr>
              <w:t>4</w:t>
            </w:r>
          </w:p>
        </w:tc>
        <w:tc>
          <w:tcPr>
            <w:tcW w:type="dxa" w:w="2200"/>
          </w:tcPr>
          <w:p>
            <w:pPr>
              <w:spacing w:after="0"/>
            </w:pPr>
            <w:r/>
            <w:r>
              <w:rPr>
                <w:rFonts w:ascii="Arial" w:hAnsi="Arial"/>
                <w:b w:val="0"/>
                <w:sz w:val="14"/>
              </w:rPr>
              <w:t>workforce,  management,  workforce management,  nucleus,  research,  nucleus research,  research workforce,  value matrix,  matrix,  technology value,  management technology,  leader nucleus</w:t>
            </w:r>
          </w:p>
        </w:tc>
        <w:tc>
          <w:tcPr>
            <w:tcW w:type="dxa" w:w="3860"/>
          </w:tcPr>
          <w:p>
            <w:pPr>
              <w:spacing w:after="0"/>
            </w:pPr>
            <w:r/>
            <w:r>
              <w:rPr>
                <w:rFonts w:ascii="Arial" w:hAnsi="Arial"/>
                <w:b w:val="0"/>
                <w:sz w:val="14"/>
              </w:rPr>
              <w:t>Repeated workforce-management, Nucleus Research, and management-heading language. This looks like mixed product/marketing text rather than one employee-protection mechanism.</w:t>
            </w:r>
          </w:p>
        </w:tc>
      </w:tr>
      <w:tr>
        <w:trPr>
          <w:cantSplit/>
        </w:trPr>
        <w:tc>
          <w:tcPr>
            <w:tcW w:type="dxa" w:w="1800"/>
          </w:tcPr>
          <w:p>
            <w:pPr>
              <w:spacing w:after="0"/>
            </w:pPr>
            <w:r/>
            <w:r>
              <w:rPr>
                <w:rFonts w:ascii="Arial" w:hAnsi="Arial"/>
                <w:b w:val="0"/>
                <w:sz w:val="14"/>
              </w:rPr>
              <w:t>Topic 3: generic AI/company language</w:t>
            </w:r>
          </w:p>
        </w:tc>
        <w:tc>
          <w:tcPr>
            <w:tcW w:type="dxa" w:w="800"/>
          </w:tcPr>
          <w:p>
            <w:pPr>
              <w:spacing w:after="0"/>
            </w:pPr>
            <w:r/>
            <w:r>
              <w:rPr>
                <w:rFonts w:ascii="Arial" w:hAnsi="Arial"/>
                <w:b w:val="0"/>
                <w:sz w:val="14"/>
              </w:rPr>
              <w:t>42</w:t>
            </w:r>
          </w:p>
        </w:tc>
        <w:tc>
          <w:tcPr>
            <w:tcW w:type="dxa" w:w="700"/>
          </w:tcPr>
          <w:p>
            <w:pPr>
              <w:spacing w:after="0"/>
            </w:pPr>
            <w:r/>
            <w:r>
              <w:rPr>
                <w:rFonts w:ascii="Arial" w:hAnsi="Arial"/>
                <w:b w:val="0"/>
                <w:sz w:val="14"/>
              </w:rPr>
              <w:t>13</w:t>
            </w:r>
          </w:p>
        </w:tc>
        <w:tc>
          <w:tcPr>
            <w:tcW w:type="dxa" w:w="2200"/>
          </w:tcPr>
          <w:p>
            <w:pPr>
              <w:spacing w:after="0"/>
            </w:pPr>
            <w:r/>
            <w:r>
              <w:rPr>
                <w:rFonts w:ascii="Arial" w:hAnsi="Arial"/>
                <w:b w:val="0"/>
                <w:sz w:val="14"/>
              </w:rPr>
              <w:t>ai,  founder,  ceo,  founder ceo,  data,  said,  glia,  platform,  co,  co founder,  customers,  technology</w:t>
            </w:r>
          </w:p>
        </w:tc>
        <w:tc>
          <w:tcPr>
            <w:tcW w:type="dxa" w:w="3860"/>
          </w:tcPr>
          <w:p>
            <w:pPr>
              <w:spacing w:after="0"/>
            </w:pPr>
            <w:r/>
            <w:r>
              <w:rPr>
                <w:rFonts w:ascii="Arial" w:hAnsi="Arial"/>
                <w:b w:val="0"/>
                <w:sz w:val="14"/>
              </w:rPr>
              <w:t>Common acquisition-announcement language such as AI, founder, CEO, data, platform, team, and said. It is the broadest and most generic grouping.</w:t>
            </w:r>
          </w:p>
        </w:tc>
      </w:tr>
    </w:tbl>
    <w:p>
      <w:pPr>
        <w:spacing w:after="0"/>
      </w:pPr>
    </w:p>
    <w:p>
      <w:pPr>
        <w:pStyle w:val="Heading2"/>
      </w:pPr>
      <w:r>
        <w:t>Representative language behind the groupings</w:t>
      </w:r>
    </w:p>
    <w:p>
      <w:r>
        <w:rPr>
          <w:b/>
        </w:rPr>
        <w:t>Topic 1: worker/productivity language</w:t>
      </w:r>
    </w:p>
    <w:p>
      <w:pPr>
        <w:pStyle w:val="ListBullet"/>
        <w:spacing w:after="40"/>
      </w:pPr>
      <w:r>
        <w:t>Zebra Technologies and Its Channel Partners Continue to Support Front-Line Workers</w:t>
      </w:r>
    </w:p>
    <w:p>
      <w:pPr>
        <w:pStyle w:val="ListBullet"/>
        <w:spacing w:after="40"/>
      </w:pPr>
      <w:r>
        <w:t>Sogegross Group Increases Front-Line Worker Productivity With Zebra Technologies</w:t>
      </w:r>
    </w:p>
    <w:p>
      <w:pPr>
        <w:pStyle w:val="ListBullet"/>
        <w:spacing w:after="40"/>
      </w:pPr>
      <w:r>
        <w:t>Zebra Technologies Empowers Front-Line Workers with Next-Generation Mobile Computing Solution</w:t>
      </w:r>
    </w:p>
    <w:p>
      <w:r>
        <w:rPr>
          <w:b/>
        </w:rPr>
        <w:t>Topic 2: workforce-management language</w:t>
      </w:r>
    </w:p>
    <w:p>
      <w:pPr>
        <w:pStyle w:val="ListBullet"/>
        <w:spacing w:after="40"/>
      </w:pPr>
      <w:r>
        <w:t>Workforce Optimization</w:t>
      </w:r>
    </w:p>
    <w:p>
      <w:pPr>
        <w:pStyle w:val="ListBullet"/>
        <w:spacing w:after="40"/>
      </w:pPr>
      <w:r>
        <w:t>Zebra Recognized as a Leader in Nucleus Research 2025 Workforce Management Technology Value Matrix</w:t>
      </w:r>
    </w:p>
    <w:p>
      <w:pPr>
        <w:pStyle w:val="ListBullet"/>
        <w:spacing w:after="40"/>
      </w:pPr>
      <w:r>
        <w:t>Zebra Named Leader In 2023 Nucleus Research Workforce Management Technology Value Matrix</w:t>
      </w:r>
    </w:p>
    <w:p>
      <w:r>
        <w:rPr>
          <w:b/>
        </w:rPr>
        <w:t>Topic 3: generic AI/company language</w:t>
      </w:r>
    </w:p>
    <w:p>
      <w:pPr>
        <w:pStyle w:val="ListBullet"/>
        <w:spacing w:after="40"/>
      </w:pPr>
      <w:r>
        <w:t>been able to achieve widespread adoption on their own,” said Dan Michaeli, co-founder and CEO of Glia. “Glia’s large and rapidly growing customer base , combined with solid financial backing to accelerate the pace of in…</w:t>
      </w:r>
    </w:p>
    <w:p>
      <w:pPr>
        <w:pStyle w:val="ListBullet"/>
        <w:spacing w:after="40"/>
      </w:pPr>
      <w:r>
        <w:t>Deposit Growth &amp; Retention Win deposits and keep customers happy with fast service.</w:t>
      </w:r>
    </w:p>
    <w:p>
      <w:pPr>
        <w:pStyle w:val="ListBullet"/>
        <w:spacing w:after="40"/>
      </w:pPr>
      <w:r>
        <w:t>Personnel Announcements</w:t>
      </w:r>
    </w:p>
    <w:p>
      <w:r>
        <w:t>The word patterns explain the assignments mechanically: passages containing similar words receive more weight in the same NMF component. They do not establish that the passages have the same legal meaning. For example, worker, productivity, and frontline can describe a buyer's product marketing rather than employee retention.</w:t>
      </w:r>
    </w:p>
    <w:p>
      <w:pPr>
        <w:pStyle w:val="Heading1"/>
      </w:pPr>
      <w:r>
        <w:t>4. Deal-level clustering view</w:t>
      </w:r>
    </w:p>
    <w:p>
      <w:r>
        <w:t>These normalized average topic weights are descriptive model weights, not probabilities that a deal used a particular retention strategy.</w:t>
      </w:r>
    </w:p>
    <w:tbl>
      <w:tblPr>
        <w:tblStyle w:val="TableGrid"/>
        <w:tblW w:type="auto" w:w="0"/>
        <w:tblLayout w:type="fixed"/>
        <w:tblLook w:firstColumn="1" w:firstRow="1" w:lastColumn="0" w:lastRow="0" w:noHBand="0" w:noVBand="1" w:val="04A0"/>
      </w:tblPr>
      <w:tblGrid>
        <w:gridCol w:w="2750"/>
        <w:gridCol w:w="750"/>
        <w:gridCol w:w="800"/>
        <w:gridCol w:w="800"/>
        <w:gridCol w:w="800"/>
        <w:gridCol w:w="3460"/>
      </w:tblGrid>
      <w:tr>
        <w:trPr>
          <w:cantSplit/>
          <w:tblHeader/>
        </w:trPr>
        <w:tc>
          <w:tcPr>
            <w:tcW w:type="dxa" w:w="2750"/>
            <w:shd w:fill="E8EEF5"/>
          </w:tcPr>
          <w:p>
            <w:pPr>
              <w:spacing w:after="0"/>
              <w:jc w:val="left"/>
            </w:pPr>
            <w:r/>
            <w:r>
              <w:rPr>
                <w:rFonts w:ascii="Arial" w:hAnsi="Arial"/>
                <w:b/>
                <w:sz w:val="14"/>
              </w:rPr>
              <w:t>Deal</w:t>
            </w:r>
          </w:p>
        </w:tc>
        <w:tc>
          <w:tcPr>
            <w:tcW w:type="dxa" w:w="750"/>
            <w:shd w:fill="E8EEF5"/>
          </w:tcPr>
          <w:p>
            <w:pPr>
              <w:spacing w:after="0"/>
              <w:jc w:val="left"/>
            </w:pPr>
            <w:r/>
            <w:r>
              <w:rPr>
                <w:rFonts w:ascii="Arial" w:hAnsi="Arial"/>
                <w:b/>
                <w:sz w:val="14"/>
              </w:rPr>
              <w:t>Passages</w:t>
            </w:r>
          </w:p>
        </w:tc>
        <w:tc>
          <w:tcPr>
            <w:tcW w:type="dxa" w:w="800"/>
            <w:shd w:fill="E8EEF5"/>
          </w:tcPr>
          <w:p>
            <w:pPr>
              <w:spacing w:after="0"/>
              <w:jc w:val="left"/>
            </w:pPr>
            <w:r/>
            <w:r>
              <w:rPr>
                <w:rFonts w:ascii="Arial" w:hAnsi="Arial"/>
                <w:b/>
                <w:sz w:val="14"/>
              </w:rPr>
              <w:t>Topic 1</w:t>
            </w:r>
          </w:p>
        </w:tc>
        <w:tc>
          <w:tcPr>
            <w:tcW w:type="dxa" w:w="800"/>
            <w:shd w:fill="E8EEF5"/>
          </w:tcPr>
          <w:p>
            <w:pPr>
              <w:spacing w:after="0"/>
              <w:jc w:val="left"/>
            </w:pPr>
            <w:r/>
            <w:r>
              <w:rPr>
                <w:rFonts w:ascii="Arial" w:hAnsi="Arial"/>
                <w:b/>
                <w:sz w:val="14"/>
              </w:rPr>
              <w:t>Topic 2</w:t>
            </w:r>
          </w:p>
        </w:tc>
        <w:tc>
          <w:tcPr>
            <w:tcW w:type="dxa" w:w="800"/>
            <w:shd w:fill="E8EEF5"/>
          </w:tcPr>
          <w:p>
            <w:pPr>
              <w:spacing w:after="0"/>
              <w:jc w:val="left"/>
            </w:pPr>
            <w:r/>
            <w:r>
              <w:rPr>
                <w:rFonts w:ascii="Arial" w:hAnsi="Arial"/>
                <w:b/>
                <w:sz w:val="14"/>
              </w:rPr>
              <w:t>Topic 3</w:t>
            </w:r>
          </w:p>
        </w:tc>
        <w:tc>
          <w:tcPr>
            <w:tcW w:type="dxa" w:w="3460"/>
            <w:shd w:fill="E8EEF5"/>
          </w:tcPr>
          <w:p>
            <w:pPr>
              <w:spacing w:after="0"/>
              <w:jc w:val="left"/>
            </w:pPr>
            <w:r/>
            <w:r>
              <w:rPr>
                <w:rFonts w:ascii="Arial" w:hAnsi="Arial"/>
                <w:b/>
                <w:sz w:val="14"/>
              </w:rPr>
              <w:t>Dominant</w:t>
            </w:r>
          </w:p>
        </w:tc>
      </w:tr>
      <w:tr>
        <w:trPr>
          <w:cantSplit/>
        </w:trPr>
        <w:tc>
          <w:tcPr>
            <w:tcW w:type="dxa" w:w="2750"/>
          </w:tcPr>
          <w:p>
            <w:pPr>
              <w:spacing w:after="0"/>
            </w:pPr>
            <w:r/>
            <w:r>
              <w:rPr>
                <w:rFonts w:ascii="Arial" w:hAnsi="Arial"/>
                <w:b w:val="0"/>
                <w:sz w:val="14"/>
              </w:rPr>
              <w:t>Zebra Technologies Corp - Fetch Robotics Inc</w:t>
            </w:r>
          </w:p>
        </w:tc>
        <w:tc>
          <w:tcPr>
            <w:tcW w:type="dxa" w:w="750"/>
          </w:tcPr>
          <w:p>
            <w:pPr>
              <w:spacing w:after="0"/>
            </w:pPr>
            <w:r/>
            <w:r>
              <w:rPr>
                <w:rFonts w:ascii="Arial" w:hAnsi="Arial"/>
                <w:b w:val="0"/>
                <w:sz w:val="14"/>
              </w:rPr>
              <w:t>32</w:t>
            </w:r>
          </w:p>
        </w:tc>
        <w:tc>
          <w:tcPr>
            <w:tcW w:type="dxa" w:w="800"/>
          </w:tcPr>
          <w:p>
            <w:pPr>
              <w:spacing w:after="0"/>
            </w:pPr>
            <w:r/>
            <w:r>
              <w:rPr>
                <w:rFonts w:ascii="Arial" w:hAnsi="Arial"/>
                <w:b w:val="0"/>
                <w:sz w:val="14"/>
              </w:rPr>
              <w:t>57.0%</w:t>
            </w:r>
          </w:p>
        </w:tc>
        <w:tc>
          <w:tcPr>
            <w:tcW w:type="dxa" w:w="800"/>
          </w:tcPr>
          <w:p>
            <w:pPr>
              <w:spacing w:after="0"/>
            </w:pPr>
            <w:r/>
            <w:r>
              <w:rPr>
                <w:rFonts w:ascii="Arial" w:hAnsi="Arial"/>
                <w:b w:val="0"/>
                <w:sz w:val="14"/>
              </w:rPr>
              <w:t>26.7%</w:t>
            </w:r>
          </w:p>
        </w:tc>
        <w:tc>
          <w:tcPr>
            <w:tcW w:type="dxa" w:w="800"/>
          </w:tcPr>
          <w:p>
            <w:pPr>
              <w:spacing w:after="0"/>
            </w:pPr>
            <w:r/>
            <w:r>
              <w:rPr>
                <w:rFonts w:ascii="Arial" w:hAnsi="Arial"/>
                <w:b w:val="0"/>
                <w:sz w:val="14"/>
              </w:rPr>
              <w:t>16.3%</w:t>
            </w:r>
          </w:p>
        </w:tc>
        <w:tc>
          <w:tcPr>
            <w:tcW w:type="dxa" w:w="3460"/>
          </w:tcPr>
          <w:p>
            <w:pPr>
              <w:spacing w:after="0"/>
            </w:pPr>
            <w:r/>
            <w:r>
              <w:rPr>
                <w:rFonts w:ascii="Arial" w:hAnsi="Arial"/>
                <w:b w:val="0"/>
                <w:sz w:val="14"/>
              </w:rPr>
              <w:t>Topic 1: worker/productivity language</w:t>
            </w:r>
          </w:p>
        </w:tc>
      </w:tr>
      <w:tr>
        <w:trPr>
          <w:cantSplit/>
        </w:trPr>
        <w:tc>
          <w:tcPr>
            <w:tcW w:type="dxa" w:w="2750"/>
          </w:tcPr>
          <w:p>
            <w:pPr>
              <w:spacing w:after="0"/>
            </w:pPr>
            <w:r/>
            <w:r>
              <w:rPr>
                <w:rFonts w:ascii="Arial" w:hAnsi="Arial"/>
                <w:b w:val="0"/>
                <w:sz w:val="14"/>
              </w:rPr>
              <w:t>Glia Technologies Inc - Finn AI</w:t>
            </w:r>
          </w:p>
        </w:tc>
        <w:tc>
          <w:tcPr>
            <w:tcW w:type="dxa" w:w="750"/>
          </w:tcPr>
          <w:p>
            <w:pPr>
              <w:spacing w:after="0"/>
            </w:pPr>
            <w:r/>
            <w:r>
              <w:rPr>
                <w:rFonts w:ascii="Arial" w:hAnsi="Arial"/>
                <w:b w:val="0"/>
                <w:sz w:val="14"/>
              </w:rPr>
              <w:t>6</w:t>
            </w:r>
          </w:p>
        </w:tc>
        <w:tc>
          <w:tcPr>
            <w:tcW w:type="dxa" w:w="800"/>
          </w:tcPr>
          <w:p>
            <w:pPr>
              <w:spacing w:after="0"/>
            </w:pPr>
            <w:r/>
            <w:r>
              <w:rPr>
                <w:rFonts w:ascii="Arial" w:hAnsi="Arial"/>
                <w:b w:val="0"/>
                <w:sz w:val="14"/>
              </w:rPr>
              <w:t>1.8%</w:t>
            </w:r>
          </w:p>
        </w:tc>
        <w:tc>
          <w:tcPr>
            <w:tcW w:type="dxa" w:w="800"/>
          </w:tcPr>
          <w:p>
            <w:pPr>
              <w:spacing w:after="0"/>
            </w:pPr>
            <w:r/>
            <w:r>
              <w:rPr>
                <w:rFonts w:ascii="Arial" w:hAnsi="Arial"/>
                <w:b w:val="0"/>
                <w:sz w:val="14"/>
              </w:rPr>
              <w:t>4.0%</w:t>
            </w:r>
          </w:p>
        </w:tc>
        <w:tc>
          <w:tcPr>
            <w:tcW w:type="dxa" w:w="800"/>
          </w:tcPr>
          <w:p>
            <w:pPr>
              <w:spacing w:after="0"/>
            </w:pPr>
            <w:r/>
            <w:r>
              <w:rPr>
                <w:rFonts w:ascii="Arial" w:hAnsi="Arial"/>
                <w:b w:val="0"/>
                <w:sz w:val="14"/>
              </w:rPr>
              <w:t>94.2%</w:t>
            </w:r>
          </w:p>
        </w:tc>
        <w:tc>
          <w:tcPr>
            <w:tcW w:type="dxa" w:w="3460"/>
          </w:tcPr>
          <w:p>
            <w:pPr>
              <w:spacing w:after="0"/>
            </w:pPr>
            <w:r/>
            <w:r>
              <w:rPr>
                <w:rFonts w:ascii="Arial" w:hAnsi="Arial"/>
                <w:b w:val="0"/>
                <w:sz w:val="14"/>
              </w:rPr>
              <w:t>Topic 3: generic AI/company language</w:t>
            </w:r>
          </w:p>
        </w:tc>
      </w:tr>
      <w:tr>
        <w:trPr>
          <w:cantSplit/>
        </w:trPr>
        <w:tc>
          <w:tcPr>
            <w:tcW w:type="dxa" w:w="2750"/>
          </w:tcPr>
          <w:p>
            <w:pPr>
              <w:spacing w:after="0"/>
            </w:pPr>
            <w:r/>
            <w:r>
              <w:rPr>
                <w:rFonts w:ascii="Arial" w:hAnsi="Arial"/>
                <w:b w:val="0"/>
                <w:sz w:val="14"/>
              </w:rPr>
              <w:t>Velodyne Lidar Inc - Bluecity.ai</w:t>
            </w:r>
          </w:p>
        </w:tc>
        <w:tc>
          <w:tcPr>
            <w:tcW w:type="dxa" w:w="750"/>
          </w:tcPr>
          <w:p>
            <w:pPr>
              <w:spacing w:after="0"/>
            </w:pPr>
            <w:r/>
            <w:r>
              <w:rPr>
                <w:rFonts w:ascii="Arial" w:hAnsi="Arial"/>
                <w:b w:val="0"/>
                <w:sz w:val="14"/>
              </w:rPr>
              <w:t>6</w:t>
            </w:r>
          </w:p>
        </w:tc>
        <w:tc>
          <w:tcPr>
            <w:tcW w:type="dxa" w:w="800"/>
          </w:tcPr>
          <w:p>
            <w:pPr>
              <w:spacing w:after="0"/>
            </w:pPr>
            <w:r/>
            <w:r>
              <w:rPr>
                <w:rFonts w:ascii="Arial" w:hAnsi="Arial"/>
                <w:b w:val="0"/>
                <w:sz w:val="14"/>
              </w:rPr>
              <w:t>2.5%</w:t>
            </w:r>
          </w:p>
        </w:tc>
        <w:tc>
          <w:tcPr>
            <w:tcW w:type="dxa" w:w="800"/>
          </w:tcPr>
          <w:p>
            <w:pPr>
              <w:spacing w:after="0"/>
            </w:pPr>
            <w:r/>
            <w:r>
              <w:rPr>
                <w:rFonts w:ascii="Arial" w:hAnsi="Arial"/>
                <w:b w:val="0"/>
                <w:sz w:val="14"/>
              </w:rPr>
              <w:t>8.1%</w:t>
            </w:r>
          </w:p>
        </w:tc>
        <w:tc>
          <w:tcPr>
            <w:tcW w:type="dxa" w:w="800"/>
          </w:tcPr>
          <w:p>
            <w:pPr>
              <w:spacing w:after="0"/>
            </w:pPr>
            <w:r/>
            <w:r>
              <w:rPr>
                <w:rFonts w:ascii="Arial" w:hAnsi="Arial"/>
                <w:b w:val="0"/>
                <w:sz w:val="14"/>
              </w:rPr>
              <w:t>89.4%</w:t>
            </w:r>
          </w:p>
        </w:tc>
        <w:tc>
          <w:tcPr>
            <w:tcW w:type="dxa" w:w="3460"/>
          </w:tcPr>
          <w:p>
            <w:pPr>
              <w:spacing w:after="0"/>
            </w:pPr>
            <w:r/>
            <w:r>
              <w:rPr>
                <w:rFonts w:ascii="Arial" w:hAnsi="Arial"/>
                <w:b w:val="0"/>
                <w:sz w:val="14"/>
              </w:rPr>
              <w:t>Topic 3: generic AI/company language</w:t>
            </w:r>
          </w:p>
        </w:tc>
      </w:tr>
      <w:tr>
        <w:trPr>
          <w:cantSplit/>
        </w:trPr>
        <w:tc>
          <w:tcPr>
            <w:tcW w:type="dxa" w:w="2750"/>
          </w:tcPr>
          <w:p>
            <w:pPr>
              <w:spacing w:after="0"/>
            </w:pPr>
            <w:r/>
            <w:r>
              <w:rPr>
                <w:rFonts w:ascii="Arial" w:hAnsi="Arial"/>
                <w:b w:val="0"/>
                <w:sz w:val="14"/>
              </w:rPr>
              <w:t>Alphabet Inc - Kaggle Inc</w:t>
            </w:r>
          </w:p>
        </w:tc>
        <w:tc>
          <w:tcPr>
            <w:tcW w:type="dxa" w:w="750"/>
          </w:tcPr>
          <w:p>
            <w:pPr>
              <w:spacing w:after="0"/>
            </w:pPr>
            <w:r/>
            <w:r>
              <w:rPr>
                <w:rFonts w:ascii="Arial" w:hAnsi="Arial"/>
                <w:b w:val="0"/>
                <w:sz w:val="14"/>
              </w:rPr>
              <w:t>4</w:t>
            </w:r>
          </w:p>
        </w:tc>
        <w:tc>
          <w:tcPr>
            <w:tcW w:type="dxa" w:w="800"/>
          </w:tcPr>
          <w:p>
            <w:pPr>
              <w:spacing w:after="0"/>
            </w:pPr>
            <w:r/>
            <w:r>
              <w:rPr>
                <w:rFonts w:ascii="Arial" w:hAnsi="Arial"/>
                <w:b w:val="0"/>
                <w:sz w:val="14"/>
              </w:rPr>
              <w:t>13.4%</w:t>
            </w:r>
          </w:p>
        </w:tc>
        <w:tc>
          <w:tcPr>
            <w:tcW w:type="dxa" w:w="800"/>
          </w:tcPr>
          <w:p>
            <w:pPr>
              <w:spacing w:after="0"/>
            </w:pPr>
            <w:r/>
            <w:r>
              <w:rPr>
                <w:rFonts w:ascii="Arial" w:hAnsi="Arial"/>
                <w:b w:val="0"/>
                <w:sz w:val="14"/>
              </w:rPr>
              <w:t>16.4%</w:t>
            </w:r>
          </w:p>
        </w:tc>
        <w:tc>
          <w:tcPr>
            <w:tcW w:type="dxa" w:w="800"/>
          </w:tcPr>
          <w:p>
            <w:pPr>
              <w:spacing w:after="0"/>
            </w:pPr>
            <w:r/>
            <w:r>
              <w:rPr>
                <w:rFonts w:ascii="Arial" w:hAnsi="Arial"/>
                <w:b w:val="0"/>
                <w:sz w:val="14"/>
              </w:rPr>
              <w:t>70.2%</w:t>
            </w:r>
          </w:p>
        </w:tc>
        <w:tc>
          <w:tcPr>
            <w:tcW w:type="dxa" w:w="3460"/>
          </w:tcPr>
          <w:p>
            <w:pPr>
              <w:spacing w:after="0"/>
            </w:pPr>
            <w:r/>
            <w:r>
              <w:rPr>
                <w:rFonts w:ascii="Arial" w:hAnsi="Arial"/>
                <w:b w:val="0"/>
                <w:sz w:val="14"/>
              </w:rPr>
              <w:t>Topic 3: generic AI/company language</w:t>
            </w:r>
          </w:p>
        </w:tc>
      </w:tr>
      <w:tr>
        <w:trPr>
          <w:cantSplit/>
        </w:trPr>
        <w:tc>
          <w:tcPr>
            <w:tcW w:type="dxa" w:w="2750"/>
          </w:tcPr>
          <w:p>
            <w:pPr>
              <w:spacing w:after="0"/>
            </w:pPr>
            <w:r/>
            <w:r>
              <w:rPr>
                <w:rFonts w:ascii="Arial" w:hAnsi="Arial"/>
                <w:b w:val="0"/>
                <w:sz w:val="14"/>
              </w:rPr>
              <w:t>Leanplum Inc - Connecto.ai</w:t>
            </w:r>
          </w:p>
        </w:tc>
        <w:tc>
          <w:tcPr>
            <w:tcW w:type="dxa" w:w="750"/>
          </w:tcPr>
          <w:p>
            <w:pPr>
              <w:spacing w:after="0"/>
            </w:pPr>
            <w:r/>
            <w:r>
              <w:rPr>
                <w:rFonts w:ascii="Arial" w:hAnsi="Arial"/>
                <w:b w:val="0"/>
                <w:sz w:val="14"/>
              </w:rPr>
              <w:t>4</w:t>
            </w:r>
          </w:p>
        </w:tc>
        <w:tc>
          <w:tcPr>
            <w:tcW w:type="dxa" w:w="800"/>
          </w:tcPr>
          <w:p>
            <w:pPr>
              <w:spacing w:after="0"/>
            </w:pPr>
            <w:r/>
            <w:r>
              <w:rPr>
                <w:rFonts w:ascii="Arial" w:hAnsi="Arial"/>
                <w:b w:val="0"/>
                <w:sz w:val="14"/>
              </w:rPr>
              <w:t>11.1%</w:t>
            </w:r>
          </w:p>
        </w:tc>
        <w:tc>
          <w:tcPr>
            <w:tcW w:type="dxa" w:w="800"/>
          </w:tcPr>
          <w:p>
            <w:pPr>
              <w:spacing w:after="0"/>
            </w:pPr>
            <w:r/>
            <w:r>
              <w:rPr>
                <w:rFonts w:ascii="Arial" w:hAnsi="Arial"/>
                <w:b w:val="0"/>
                <w:sz w:val="14"/>
              </w:rPr>
              <w:t>25.2%</w:t>
            </w:r>
          </w:p>
        </w:tc>
        <w:tc>
          <w:tcPr>
            <w:tcW w:type="dxa" w:w="800"/>
          </w:tcPr>
          <w:p>
            <w:pPr>
              <w:spacing w:after="0"/>
            </w:pPr>
            <w:r/>
            <w:r>
              <w:rPr>
                <w:rFonts w:ascii="Arial" w:hAnsi="Arial"/>
                <w:b w:val="0"/>
                <w:sz w:val="14"/>
              </w:rPr>
              <w:t>63.6%</w:t>
            </w:r>
          </w:p>
        </w:tc>
        <w:tc>
          <w:tcPr>
            <w:tcW w:type="dxa" w:w="3460"/>
          </w:tcPr>
          <w:p>
            <w:pPr>
              <w:spacing w:after="0"/>
            </w:pPr>
            <w:r/>
            <w:r>
              <w:rPr>
                <w:rFonts w:ascii="Arial" w:hAnsi="Arial"/>
                <w:b w:val="0"/>
                <w:sz w:val="14"/>
              </w:rPr>
              <w:t>Topic 3: generic AI/company language</w:t>
            </w:r>
          </w:p>
        </w:tc>
      </w:tr>
      <w:tr>
        <w:trPr>
          <w:cantSplit/>
        </w:trPr>
        <w:tc>
          <w:tcPr>
            <w:tcW w:type="dxa" w:w="2750"/>
          </w:tcPr>
          <w:p>
            <w:pPr>
              <w:spacing w:after="0"/>
            </w:pPr>
            <w:r/>
            <w:r>
              <w:rPr>
                <w:rFonts w:ascii="Arial" w:hAnsi="Arial"/>
                <w:b w:val="0"/>
                <w:sz w:val="14"/>
              </w:rPr>
              <w:t>Algolia Inc - MorphL AI Inc</w:t>
            </w:r>
          </w:p>
        </w:tc>
        <w:tc>
          <w:tcPr>
            <w:tcW w:type="dxa" w:w="750"/>
          </w:tcPr>
          <w:p>
            <w:pPr>
              <w:spacing w:after="0"/>
            </w:pPr>
            <w:r/>
            <w:r>
              <w:rPr>
                <w:rFonts w:ascii="Arial" w:hAnsi="Arial"/>
                <w:b w:val="0"/>
                <w:sz w:val="14"/>
              </w:rPr>
              <w:t>4</w:t>
            </w:r>
          </w:p>
        </w:tc>
        <w:tc>
          <w:tcPr>
            <w:tcW w:type="dxa" w:w="800"/>
          </w:tcPr>
          <w:p>
            <w:pPr>
              <w:spacing w:after="0"/>
            </w:pPr>
            <w:r/>
            <w:r>
              <w:rPr>
                <w:rFonts w:ascii="Arial" w:hAnsi="Arial"/>
                <w:b w:val="0"/>
                <w:sz w:val="14"/>
              </w:rPr>
              <w:t>1.9%</w:t>
            </w:r>
          </w:p>
        </w:tc>
        <w:tc>
          <w:tcPr>
            <w:tcW w:type="dxa" w:w="800"/>
          </w:tcPr>
          <w:p>
            <w:pPr>
              <w:spacing w:after="0"/>
            </w:pPr>
            <w:r/>
            <w:r>
              <w:rPr>
                <w:rFonts w:ascii="Arial" w:hAnsi="Arial"/>
                <w:b w:val="0"/>
                <w:sz w:val="14"/>
              </w:rPr>
              <w:t>1.4%</w:t>
            </w:r>
          </w:p>
        </w:tc>
        <w:tc>
          <w:tcPr>
            <w:tcW w:type="dxa" w:w="800"/>
          </w:tcPr>
          <w:p>
            <w:pPr>
              <w:spacing w:after="0"/>
            </w:pPr>
            <w:r/>
            <w:r>
              <w:rPr>
                <w:rFonts w:ascii="Arial" w:hAnsi="Arial"/>
                <w:b w:val="0"/>
                <w:sz w:val="14"/>
              </w:rPr>
              <w:t>96.8%</w:t>
            </w:r>
          </w:p>
        </w:tc>
        <w:tc>
          <w:tcPr>
            <w:tcW w:type="dxa" w:w="3460"/>
          </w:tcPr>
          <w:p>
            <w:pPr>
              <w:spacing w:after="0"/>
            </w:pPr>
            <w:r/>
            <w:r>
              <w:rPr>
                <w:rFonts w:ascii="Arial" w:hAnsi="Arial"/>
                <w:b w:val="0"/>
                <w:sz w:val="14"/>
              </w:rPr>
              <w:t>Topic 3: generic AI/company language</w:t>
            </w:r>
          </w:p>
        </w:tc>
      </w:tr>
      <w:tr>
        <w:trPr>
          <w:cantSplit/>
        </w:trPr>
        <w:tc>
          <w:tcPr>
            <w:tcW w:type="dxa" w:w="2750"/>
          </w:tcPr>
          <w:p>
            <w:pPr>
              <w:spacing w:after="0"/>
            </w:pPr>
            <w:r/>
            <w:r>
              <w:rPr>
                <w:rFonts w:ascii="Arial" w:hAnsi="Arial"/>
                <w:b w:val="0"/>
                <w:sz w:val="14"/>
              </w:rPr>
              <w:t>HubSpot Inc - Motion Ai Inc</w:t>
            </w:r>
          </w:p>
        </w:tc>
        <w:tc>
          <w:tcPr>
            <w:tcW w:type="dxa" w:w="750"/>
          </w:tcPr>
          <w:p>
            <w:pPr>
              <w:spacing w:after="0"/>
            </w:pPr>
            <w:r/>
            <w:r>
              <w:rPr>
                <w:rFonts w:ascii="Arial" w:hAnsi="Arial"/>
                <w:b w:val="0"/>
                <w:sz w:val="14"/>
              </w:rPr>
              <w:t>3</w:t>
            </w:r>
          </w:p>
        </w:tc>
        <w:tc>
          <w:tcPr>
            <w:tcW w:type="dxa" w:w="800"/>
          </w:tcPr>
          <w:p>
            <w:pPr>
              <w:spacing w:after="0"/>
            </w:pPr>
            <w:r/>
            <w:r>
              <w:rPr>
                <w:rFonts w:ascii="Arial" w:hAnsi="Arial"/>
                <w:b w:val="0"/>
                <w:sz w:val="14"/>
              </w:rPr>
              <w:t>0.0%</w:t>
            </w:r>
          </w:p>
        </w:tc>
        <w:tc>
          <w:tcPr>
            <w:tcW w:type="dxa" w:w="800"/>
          </w:tcPr>
          <w:p>
            <w:pPr>
              <w:spacing w:after="0"/>
            </w:pPr>
            <w:r/>
            <w:r>
              <w:rPr>
                <w:rFonts w:ascii="Arial" w:hAnsi="Arial"/>
                <w:b w:val="0"/>
                <w:sz w:val="14"/>
              </w:rPr>
              <w:t>25.4%</w:t>
            </w:r>
          </w:p>
        </w:tc>
        <w:tc>
          <w:tcPr>
            <w:tcW w:type="dxa" w:w="800"/>
          </w:tcPr>
          <w:p>
            <w:pPr>
              <w:spacing w:after="0"/>
            </w:pPr>
            <w:r/>
            <w:r>
              <w:rPr>
                <w:rFonts w:ascii="Arial" w:hAnsi="Arial"/>
                <w:b w:val="0"/>
                <w:sz w:val="14"/>
              </w:rPr>
              <w:t>74.6%</w:t>
            </w:r>
          </w:p>
        </w:tc>
        <w:tc>
          <w:tcPr>
            <w:tcW w:type="dxa" w:w="3460"/>
          </w:tcPr>
          <w:p>
            <w:pPr>
              <w:spacing w:after="0"/>
            </w:pPr>
            <w:r/>
            <w:r>
              <w:rPr>
                <w:rFonts w:ascii="Arial" w:hAnsi="Arial"/>
                <w:b w:val="0"/>
                <w:sz w:val="14"/>
              </w:rPr>
              <w:t>Topic 3: generic AI/company language</w:t>
            </w:r>
          </w:p>
        </w:tc>
      </w:tr>
      <w:tr>
        <w:trPr>
          <w:cantSplit/>
        </w:trPr>
        <w:tc>
          <w:tcPr>
            <w:tcW w:type="dxa" w:w="2750"/>
          </w:tcPr>
          <w:p>
            <w:pPr>
              <w:spacing w:after="0"/>
            </w:pPr>
            <w:r/>
            <w:r>
              <w:rPr>
                <w:rFonts w:ascii="Arial" w:hAnsi="Arial"/>
                <w:b w:val="0"/>
                <w:sz w:val="14"/>
              </w:rPr>
              <w:t>Smartsheet Inc - Converse.AI Inc</w:t>
            </w:r>
          </w:p>
        </w:tc>
        <w:tc>
          <w:tcPr>
            <w:tcW w:type="dxa" w:w="750"/>
          </w:tcPr>
          <w:p>
            <w:pPr>
              <w:spacing w:after="0"/>
            </w:pPr>
            <w:r/>
            <w:r>
              <w:rPr>
                <w:rFonts w:ascii="Arial" w:hAnsi="Arial"/>
                <w:b w:val="0"/>
                <w:sz w:val="14"/>
              </w:rPr>
              <w:t>3</w:t>
            </w:r>
          </w:p>
        </w:tc>
        <w:tc>
          <w:tcPr>
            <w:tcW w:type="dxa" w:w="800"/>
          </w:tcPr>
          <w:p>
            <w:pPr>
              <w:spacing w:after="0"/>
            </w:pPr>
            <w:r/>
            <w:r>
              <w:rPr>
                <w:rFonts w:ascii="Arial" w:hAnsi="Arial"/>
                <w:b w:val="0"/>
                <w:sz w:val="14"/>
              </w:rPr>
              <w:t>6.2%</w:t>
            </w:r>
          </w:p>
        </w:tc>
        <w:tc>
          <w:tcPr>
            <w:tcW w:type="dxa" w:w="800"/>
          </w:tcPr>
          <w:p>
            <w:pPr>
              <w:spacing w:after="0"/>
            </w:pPr>
            <w:r/>
            <w:r>
              <w:rPr>
                <w:rFonts w:ascii="Arial" w:hAnsi="Arial"/>
                <w:b w:val="0"/>
                <w:sz w:val="14"/>
              </w:rPr>
              <w:t>2.7%</w:t>
            </w:r>
          </w:p>
        </w:tc>
        <w:tc>
          <w:tcPr>
            <w:tcW w:type="dxa" w:w="800"/>
          </w:tcPr>
          <w:p>
            <w:pPr>
              <w:spacing w:after="0"/>
            </w:pPr>
            <w:r/>
            <w:r>
              <w:rPr>
                <w:rFonts w:ascii="Arial" w:hAnsi="Arial"/>
                <w:b w:val="0"/>
                <w:sz w:val="14"/>
              </w:rPr>
              <w:t>91.1%</w:t>
            </w:r>
          </w:p>
        </w:tc>
        <w:tc>
          <w:tcPr>
            <w:tcW w:type="dxa" w:w="3460"/>
          </w:tcPr>
          <w:p>
            <w:pPr>
              <w:spacing w:after="0"/>
            </w:pPr>
            <w:r/>
            <w:r>
              <w:rPr>
                <w:rFonts w:ascii="Arial" w:hAnsi="Arial"/>
                <w:b w:val="0"/>
                <w:sz w:val="14"/>
              </w:rPr>
              <w:t>Topic 3: generic AI/company language</w:t>
            </w:r>
          </w:p>
        </w:tc>
      </w:tr>
      <w:tr>
        <w:trPr>
          <w:cantSplit/>
        </w:trPr>
        <w:tc>
          <w:tcPr>
            <w:tcW w:type="dxa" w:w="2750"/>
          </w:tcPr>
          <w:p>
            <w:pPr>
              <w:spacing w:after="0"/>
            </w:pPr>
            <w:r/>
            <w:r>
              <w:rPr>
                <w:rFonts w:ascii="Arial" w:hAnsi="Arial"/>
                <w:b w:val="0"/>
                <w:sz w:val="14"/>
              </w:rPr>
              <w:t>AppHarvest Inc - Root AI Inc</w:t>
            </w:r>
          </w:p>
        </w:tc>
        <w:tc>
          <w:tcPr>
            <w:tcW w:type="dxa" w:w="750"/>
          </w:tcPr>
          <w:p>
            <w:pPr>
              <w:spacing w:after="0"/>
            </w:pPr>
            <w:r/>
            <w:r>
              <w:rPr>
                <w:rFonts w:ascii="Arial" w:hAnsi="Arial"/>
                <w:b w:val="0"/>
                <w:sz w:val="14"/>
              </w:rPr>
              <w:t>3</w:t>
            </w:r>
          </w:p>
        </w:tc>
        <w:tc>
          <w:tcPr>
            <w:tcW w:type="dxa" w:w="800"/>
          </w:tcPr>
          <w:p>
            <w:pPr>
              <w:spacing w:after="0"/>
            </w:pPr>
            <w:r/>
            <w:r>
              <w:rPr>
                <w:rFonts w:ascii="Arial" w:hAnsi="Arial"/>
                <w:b w:val="0"/>
                <w:sz w:val="14"/>
              </w:rPr>
              <w:t>0.0%</w:t>
            </w:r>
          </w:p>
        </w:tc>
        <w:tc>
          <w:tcPr>
            <w:tcW w:type="dxa" w:w="800"/>
          </w:tcPr>
          <w:p>
            <w:pPr>
              <w:spacing w:after="0"/>
            </w:pPr>
            <w:r/>
            <w:r>
              <w:rPr>
                <w:rFonts w:ascii="Arial" w:hAnsi="Arial"/>
                <w:b w:val="0"/>
                <w:sz w:val="14"/>
              </w:rPr>
              <w:t>1.8%</w:t>
            </w:r>
          </w:p>
        </w:tc>
        <w:tc>
          <w:tcPr>
            <w:tcW w:type="dxa" w:w="800"/>
          </w:tcPr>
          <w:p>
            <w:pPr>
              <w:spacing w:after="0"/>
            </w:pPr>
            <w:r/>
            <w:r>
              <w:rPr>
                <w:rFonts w:ascii="Arial" w:hAnsi="Arial"/>
                <w:b w:val="0"/>
                <w:sz w:val="14"/>
              </w:rPr>
              <w:t>98.2%</w:t>
            </w:r>
          </w:p>
        </w:tc>
        <w:tc>
          <w:tcPr>
            <w:tcW w:type="dxa" w:w="3460"/>
          </w:tcPr>
          <w:p>
            <w:pPr>
              <w:spacing w:after="0"/>
            </w:pPr>
            <w:r/>
            <w:r>
              <w:rPr>
                <w:rFonts w:ascii="Arial" w:hAnsi="Arial"/>
                <w:b w:val="0"/>
                <w:sz w:val="14"/>
              </w:rPr>
              <w:t>Topic 3: generic AI/company language</w:t>
            </w:r>
          </w:p>
        </w:tc>
      </w:tr>
      <w:tr>
        <w:trPr>
          <w:cantSplit/>
        </w:trPr>
        <w:tc>
          <w:tcPr>
            <w:tcW w:type="dxa" w:w="2750"/>
          </w:tcPr>
          <w:p>
            <w:pPr>
              <w:spacing w:after="0"/>
            </w:pPr>
            <w:r/>
            <w:r>
              <w:rPr>
                <w:rFonts w:ascii="Arial" w:hAnsi="Arial"/>
                <w:b w:val="0"/>
                <w:sz w:val="14"/>
              </w:rPr>
              <w:t>365 Retail Markets LLC - Stockwell AI Inc</w:t>
            </w:r>
          </w:p>
        </w:tc>
        <w:tc>
          <w:tcPr>
            <w:tcW w:type="dxa" w:w="750"/>
          </w:tcPr>
          <w:p>
            <w:pPr>
              <w:spacing w:after="0"/>
            </w:pPr>
            <w:r/>
            <w:r>
              <w:rPr>
                <w:rFonts w:ascii="Arial" w:hAnsi="Arial"/>
                <w:b w:val="0"/>
                <w:sz w:val="14"/>
              </w:rPr>
              <w:t>2</w:t>
            </w:r>
          </w:p>
        </w:tc>
        <w:tc>
          <w:tcPr>
            <w:tcW w:type="dxa" w:w="800"/>
          </w:tcPr>
          <w:p>
            <w:pPr>
              <w:spacing w:after="0"/>
            </w:pPr>
            <w:r/>
            <w:r>
              <w:rPr>
                <w:rFonts w:ascii="Arial" w:hAnsi="Arial"/>
                <w:b w:val="0"/>
                <w:sz w:val="14"/>
              </w:rPr>
              <w:t>0.3%</w:t>
            </w:r>
          </w:p>
        </w:tc>
        <w:tc>
          <w:tcPr>
            <w:tcW w:type="dxa" w:w="800"/>
          </w:tcPr>
          <w:p>
            <w:pPr>
              <w:spacing w:after="0"/>
            </w:pPr>
            <w:r/>
            <w:r>
              <w:rPr>
                <w:rFonts w:ascii="Arial" w:hAnsi="Arial"/>
                <w:b w:val="0"/>
                <w:sz w:val="14"/>
              </w:rPr>
              <w:t>21.4%</w:t>
            </w:r>
          </w:p>
        </w:tc>
        <w:tc>
          <w:tcPr>
            <w:tcW w:type="dxa" w:w="800"/>
          </w:tcPr>
          <w:p>
            <w:pPr>
              <w:spacing w:after="0"/>
            </w:pPr>
            <w:r/>
            <w:r>
              <w:rPr>
                <w:rFonts w:ascii="Arial" w:hAnsi="Arial"/>
                <w:b w:val="0"/>
                <w:sz w:val="14"/>
              </w:rPr>
              <w:t>78.3%</w:t>
            </w:r>
          </w:p>
        </w:tc>
        <w:tc>
          <w:tcPr>
            <w:tcW w:type="dxa" w:w="3460"/>
          </w:tcPr>
          <w:p>
            <w:pPr>
              <w:spacing w:after="0"/>
            </w:pPr>
            <w:r/>
            <w:r>
              <w:rPr>
                <w:rFonts w:ascii="Arial" w:hAnsi="Arial"/>
                <w:b w:val="0"/>
                <w:sz w:val="14"/>
              </w:rPr>
              <w:t>Topic 3: generic AI/company language</w:t>
            </w:r>
          </w:p>
        </w:tc>
      </w:tr>
      <w:tr>
        <w:trPr>
          <w:cantSplit/>
        </w:trPr>
        <w:tc>
          <w:tcPr>
            <w:tcW w:type="dxa" w:w="2750"/>
          </w:tcPr>
          <w:p>
            <w:pPr>
              <w:spacing w:after="0"/>
            </w:pPr>
            <w:r/>
            <w:r>
              <w:rPr>
                <w:rFonts w:ascii="Arial" w:hAnsi="Arial"/>
                <w:b w:val="0"/>
                <w:sz w:val="14"/>
              </w:rPr>
              <w:t>Fortinet Inc - Sken Ai</w:t>
            </w:r>
          </w:p>
        </w:tc>
        <w:tc>
          <w:tcPr>
            <w:tcW w:type="dxa" w:w="750"/>
          </w:tcPr>
          <w:p>
            <w:pPr>
              <w:spacing w:after="0"/>
            </w:pPr>
            <w:r/>
            <w:r>
              <w:rPr>
                <w:rFonts w:ascii="Arial" w:hAnsi="Arial"/>
                <w:b w:val="0"/>
                <w:sz w:val="14"/>
              </w:rPr>
              <w:t>2</w:t>
            </w:r>
          </w:p>
        </w:tc>
        <w:tc>
          <w:tcPr>
            <w:tcW w:type="dxa" w:w="800"/>
          </w:tcPr>
          <w:p>
            <w:pPr>
              <w:spacing w:after="0"/>
            </w:pPr>
            <w:r/>
            <w:r>
              <w:rPr>
                <w:rFonts w:ascii="Arial" w:hAnsi="Arial"/>
                <w:b w:val="0"/>
                <w:sz w:val="14"/>
              </w:rPr>
              <w:t>0.0%</w:t>
            </w:r>
          </w:p>
        </w:tc>
        <w:tc>
          <w:tcPr>
            <w:tcW w:type="dxa" w:w="800"/>
          </w:tcPr>
          <w:p>
            <w:pPr>
              <w:spacing w:after="0"/>
            </w:pPr>
            <w:r/>
            <w:r>
              <w:rPr>
                <w:rFonts w:ascii="Arial" w:hAnsi="Arial"/>
                <w:b w:val="0"/>
                <w:sz w:val="14"/>
              </w:rPr>
              <w:t>0.0%</w:t>
            </w:r>
          </w:p>
        </w:tc>
        <w:tc>
          <w:tcPr>
            <w:tcW w:type="dxa" w:w="800"/>
          </w:tcPr>
          <w:p>
            <w:pPr>
              <w:spacing w:after="0"/>
            </w:pPr>
            <w:r/>
            <w:r>
              <w:rPr>
                <w:rFonts w:ascii="Arial" w:hAnsi="Arial"/>
                <w:b w:val="0"/>
                <w:sz w:val="14"/>
              </w:rPr>
              <w:t>100.0%</w:t>
            </w:r>
          </w:p>
        </w:tc>
        <w:tc>
          <w:tcPr>
            <w:tcW w:type="dxa" w:w="3460"/>
          </w:tcPr>
          <w:p>
            <w:pPr>
              <w:spacing w:after="0"/>
            </w:pPr>
            <w:r/>
            <w:r>
              <w:rPr>
                <w:rFonts w:ascii="Arial" w:hAnsi="Arial"/>
                <w:b w:val="0"/>
                <w:sz w:val="14"/>
              </w:rPr>
              <w:t>Topic 3: generic AI/company language</w:t>
            </w:r>
          </w:p>
        </w:tc>
      </w:tr>
      <w:tr>
        <w:trPr>
          <w:cantSplit/>
        </w:trPr>
        <w:tc>
          <w:tcPr>
            <w:tcW w:type="dxa" w:w="2750"/>
          </w:tcPr>
          <w:p>
            <w:pPr>
              <w:spacing w:after="0"/>
            </w:pPr>
            <w:r/>
            <w:r>
              <w:rPr>
                <w:rFonts w:ascii="Arial" w:hAnsi="Arial"/>
                <w:b w:val="0"/>
                <w:sz w:val="14"/>
              </w:rPr>
              <w:t>IBM Corp - Databand.ai Ltd</w:t>
            </w:r>
          </w:p>
        </w:tc>
        <w:tc>
          <w:tcPr>
            <w:tcW w:type="dxa" w:w="750"/>
          </w:tcPr>
          <w:p>
            <w:pPr>
              <w:spacing w:after="0"/>
            </w:pPr>
            <w:r/>
            <w:r>
              <w:rPr>
                <w:rFonts w:ascii="Arial" w:hAnsi="Arial"/>
                <w:b w:val="0"/>
                <w:sz w:val="14"/>
              </w:rPr>
              <w:t>2</w:t>
            </w:r>
          </w:p>
        </w:tc>
        <w:tc>
          <w:tcPr>
            <w:tcW w:type="dxa" w:w="800"/>
          </w:tcPr>
          <w:p>
            <w:pPr>
              <w:spacing w:after="0"/>
            </w:pPr>
            <w:r/>
            <w:r>
              <w:rPr>
                <w:rFonts w:ascii="Arial" w:hAnsi="Arial"/>
                <w:b w:val="0"/>
                <w:sz w:val="14"/>
              </w:rPr>
              <w:t>0.0%</w:t>
            </w:r>
          </w:p>
        </w:tc>
        <w:tc>
          <w:tcPr>
            <w:tcW w:type="dxa" w:w="800"/>
          </w:tcPr>
          <w:p>
            <w:pPr>
              <w:spacing w:after="0"/>
            </w:pPr>
            <w:r/>
            <w:r>
              <w:rPr>
                <w:rFonts w:ascii="Arial" w:hAnsi="Arial"/>
                <w:b w:val="0"/>
                <w:sz w:val="14"/>
              </w:rPr>
              <w:t>0.0%</w:t>
            </w:r>
          </w:p>
        </w:tc>
        <w:tc>
          <w:tcPr>
            <w:tcW w:type="dxa" w:w="800"/>
          </w:tcPr>
          <w:p>
            <w:pPr>
              <w:spacing w:after="0"/>
            </w:pPr>
            <w:r/>
            <w:r>
              <w:rPr>
                <w:rFonts w:ascii="Arial" w:hAnsi="Arial"/>
                <w:b w:val="0"/>
                <w:sz w:val="14"/>
              </w:rPr>
              <w:t>100.0%</w:t>
            </w:r>
          </w:p>
        </w:tc>
        <w:tc>
          <w:tcPr>
            <w:tcW w:type="dxa" w:w="3460"/>
          </w:tcPr>
          <w:p>
            <w:pPr>
              <w:spacing w:after="0"/>
            </w:pPr>
            <w:r/>
            <w:r>
              <w:rPr>
                <w:rFonts w:ascii="Arial" w:hAnsi="Arial"/>
                <w:b w:val="0"/>
                <w:sz w:val="14"/>
              </w:rPr>
              <w:t>Topic 3: generic AI/company language</w:t>
            </w:r>
          </w:p>
        </w:tc>
      </w:tr>
      <w:tr>
        <w:trPr>
          <w:cantSplit/>
        </w:trPr>
        <w:tc>
          <w:tcPr>
            <w:tcW w:type="dxa" w:w="2750"/>
          </w:tcPr>
          <w:p>
            <w:pPr>
              <w:spacing w:after="0"/>
            </w:pPr>
            <w:r/>
            <w:r>
              <w:rPr>
                <w:rFonts w:ascii="Arial" w:hAnsi="Arial"/>
                <w:b w:val="0"/>
                <w:sz w:val="14"/>
              </w:rPr>
              <w:t>Sensory Inc - Vocalize AI Inc</w:t>
            </w:r>
          </w:p>
        </w:tc>
        <w:tc>
          <w:tcPr>
            <w:tcW w:type="dxa" w:w="750"/>
          </w:tcPr>
          <w:p>
            <w:pPr>
              <w:spacing w:after="0"/>
            </w:pPr>
            <w:r/>
            <w:r>
              <w:rPr>
                <w:rFonts w:ascii="Arial" w:hAnsi="Arial"/>
                <w:b w:val="0"/>
                <w:sz w:val="14"/>
              </w:rPr>
              <w:t>1</w:t>
            </w:r>
          </w:p>
        </w:tc>
        <w:tc>
          <w:tcPr>
            <w:tcW w:type="dxa" w:w="800"/>
          </w:tcPr>
          <w:p>
            <w:pPr>
              <w:spacing w:after="0"/>
            </w:pPr>
            <w:r/>
            <w:r>
              <w:rPr>
                <w:rFonts w:ascii="Arial" w:hAnsi="Arial"/>
                <w:b w:val="0"/>
                <w:sz w:val="14"/>
              </w:rPr>
              <w:t>0.0%</w:t>
            </w:r>
          </w:p>
        </w:tc>
        <w:tc>
          <w:tcPr>
            <w:tcW w:type="dxa" w:w="800"/>
          </w:tcPr>
          <w:p>
            <w:pPr>
              <w:spacing w:after="0"/>
            </w:pPr>
            <w:r/>
            <w:r>
              <w:rPr>
                <w:rFonts w:ascii="Arial" w:hAnsi="Arial"/>
                <w:b w:val="0"/>
                <w:sz w:val="14"/>
              </w:rPr>
              <w:t>0.0%</w:t>
            </w:r>
          </w:p>
        </w:tc>
        <w:tc>
          <w:tcPr>
            <w:tcW w:type="dxa" w:w="800"/>
          </w:tcPr>
          <w:p>
            <w:pPr>
              <w:spacing w:after="0"/>
            </w:pPr>
            <w:r/>
            <w:r>
              <w:rPr>
                <w:rFonts w:ascii="Arial" w:hAnsi="Arial"/>
                <w:b w:val="0"/>
                <w:sz w:val="14"/>
              </w:rPr>
              <w:t>100.0%</w:t>
            </w:r>
          </w:p>
        </w:tc>
        <w:tc>
          <w:tcPr>
            <w:tcW w:type="dxa" w:w="3460"/>
          </w:tcPr>
          <w:p>
            <w:pPr>
              <w:spacing w:after="0"/>
            </w:pPr>
            <w:r/>
            <w:r>
              <w:rPr>
                <w:rFonts w:ascii="Arial" w:hAnsi="Arial"/>
                <w:b w:val="0"/>
                <w:sz w:val="14"/>
              </w:rPr>
              <w:t>Topic 3: generic AI/company language</w:t>
            </w:r>
          </w:p>
        </w:tc>
      </w:tr>
    </w:tbl>
    <w:p>
      <w:pPr>
        <w:spacing w:after="0"/>
      </w:pPr>
    </w:p>
    <w:p>
      <w:r>
        <w:t>The most important pattern is concentration: Zebra-Fetch contributes 32 of the 72 passages. It therefore dominates Topic 1 and contributes substantially to Topic 2. Most other deals are assigned primarily to Topic 3 because their shorter official announcements share generic AI/company language.</w:t>
      </w:r>
    </w:p>
    <w:p>
      <w:pPr>
        <w:pStyle w:val="Heading1"/>
      </w:pPr>
      <w:r>
        <w:t>5. Diagnostics and why the result is not release-ready</w:t>
      </w:r>
    </w:p>
    <w:tbl>
      <w:tblPr>
        <w:tblStyle w:val="TableGrid"/>
        <w:tblW w:type="auto" w:w="0"/>
        <w:tblLayout w:type="fixed"/>
        <w:tblLook w:firstColumn="1" w:firstRow="1" w:lastColumn="0" w:lastRow="0" w:noHBand="0" w:noVBand="1" w:val="04A0"/>
      </w:tblPr>
      <w:tblGrid>
        <w:gridCol w:w="2800"/>
        <w:gridCol w:w="1400"/>
        <w:gridCol w:w="4560"/>
      </w:tblGrid>
      <w:tr>
        <w:trPr>
          <w:cantSplit/>
          <w:tblHeader/>
        </w:trPr>
        <w:tc>
          <w:tcPr>
            <w:tcW w:type="dxa" w:w="2800"/>
            <w:shd w:fill="E8EEF5"/>
          </w:tcPr>
          <w:p>
            <w:pPr>
              <w:spacing w:after="0"/>
              <w:jc w:val="left"/>
            </w:pPr>
            <w:r/>
            <w:r>
              <w:rPr>
                <w:rFonts w:ascii="Arial" w:hAnsi="Arial"/>
                <w:b/>
                <w:sz w:val="16"/>
              </w:rPr>
              <w:t>Diagnostic</w:t>
            </w:r>
          </w:p>
        </w:tc>
        <w:tc>
          <w:tcPr>
            <w:tcW w:type="dxa" w:w="1400"/>
            <w:shd w:fill="E8EEF5"/>
          </w:tcPr>
          <w:p>
            <w:pPr>
              <w:spacing w:after="0"/>
              <w:jc w:val="left"/>
            </w:pPr>
            <w:r/>
            <w:r>
              <w:rPr>
                <w:rFonts w:ascii="Arial" w:hAnsi="Arial"/>
                <w:b/>
                <w:sz w:val="16"/>
              </w:rPr>
              <w:t>Result</w:t>
            </w:r>
          </w:p>
        </w:tc>
        <w:tc>
          <w:tcPr>
            <w:tcW w:type="dxa" w:w="4560"/>
            <w:shd w:fill="E8EEF5"/>
          </w:tcPr>
          <w:p>
            <w:pPr>
              <w:spacing w:after="0"/>
              <w:jc w:val="left"/>
            </w:pPr>
            <w:r/>
            <w:r>
              <w:rPr>
                <w:rFonts w:ascii="Arial" w:hAnsi="Arial"/>
                <w:b/>
                <w:sz w:val="16"/>
              </w:rPr>
              <w:t>Interpretation</w:t>
            </w:r>
          </w:p>
        </w:tc>
      </w:tr>
      <w:tr>
        <w:trPr>
          <w:cantSplit/>
        </w:trPr>
        <w:tc>
          <w:tcPr>
            <w:tcW w:type="dxa" w:w="2800"/>
          </w:tcPr>
          <w:p>
            <w:pPr>
              <w:spacing w:after="0"/>
            </w:pPr>
            <w:r/>
            <w:r>
              <w:rPr>
                <w:rFonts w:ascii="Arial" w:hAnsi="Arial"/>
                <w:b w:val="0"/>
                <w:sz w:val="16"/>
              </w:rPr>
              <w:t>Selected topic count</w:t>
            </w:r>
          </w:p>
        </w:tc>
        <w:tc>
          <w:tcPr>
            <w:tcW w:type="dxa" w:w="1400"/>
          </w:tcPr>
          <w:p>
            <w:pPr>
              <w:spacing w:after="0"/>
            </w:pPr>
            <w:r/>
            <w:r>
              <w:rPr>
                <w:rFonts w:ascii="Arial" w:hAnsi="Arial"/>
                <w:b w:val="0"/>
                <w:sz w:val="16"/>
              </w:rPr>
              <w:t>K = 3</w:t>
            </w:r>
          </w:p>
        </w:tc>
        <w:tc>
          <w:tcPr>
            <w:tcW w:type="dxa" w:w="4560"/>
          </w:tcPr>
          <w:p>
            <w:pPr>
              <w:spacing w:after="0"/>
            </w:pPr>
            <w:r/>
            <w:r>
              <w:rPr>
                <w:rFonts w:ascii="Arial" w:hAnsi="Arial"/>
                <w:b w:val="0"/>
                <w:sz w:val="16"/>
              </w:rPr>
              <w:t>Best candidate in the configured K range.</w:t>
            </w:r>
          </w:p>
        </w:tc>
      </w:tr>
      <w:tr>
        <w:trPr>
          <w:cantSplit/>
        </w:trPr>
        <w:tc>
          <w:tcPr>
            <w:tcW w:type="dxa" w:w="2800"/>
          </w:tcPr>
          <w:p>
            <w:pPr>
              <w:spacing w:after="0"/>
            </w:pPr>
            <w:r/>
            <w:r>
              <w:rPr>
                <w:rFonts w:ascii="Arial" w:hAnsi="Arial"/>
                <w:b w:val="0"/>
                <w:sz w:val="16"/>
              </w:rPr>
              <w:t>Half-sample stability</w:t>
            </w:r>
          </w:p>
        </w:tc>
        <w:tc>
          <w:tcPr>
            <w:tcW w:type="dxa" w:w="1400"/>
          </w:tcPr>
          <w:p>
            <w:pPr>
              <w:spacing w:after="0"/>
            </w:pPr>
            <w:r/>
            <w:r>
              <w:rPr>
                <w:rFonts w:ascii="Arial" w:hAnsi="Arial"/>
                <w:b w:val="0"/>
                <w:sz w:val="16"/>
              </w:rPr>
              <w:t>0.2464</w:t>
            </w:r>
          </w:p>
        </w:tc>
        <w:tc>
          <w:tcPr>
            <w:tcW w:type="dxa" w:w="4560"/>
          </w:tcPr>
          <w:p>
            <w:pPr>
              <w:spacing w:after="0"/>
            </w:pPr>
            <w:r/>
            <w:r>
              <w:rPr>
                <w:rFonts w:ascii="Arial" w:hAnsi="Arial"/>
                <w:b w:val="0"/>
                <w:sz w:val="16"/>
              </w:rPr>
              <w:t>Low exploratory stability; not a validated taxonomy.</w:t>
            </w:r>
          </w:p>
        </w:tc>
      </w:tr>
      <w:tr>
        <w:trPr>
          <w:cantSplit/>
        </w:trPr>
        <w:tc>
          <w:tcPr>
            <w:tcW w:type="dxa" w:w="2800"/>
          </w:tcPr>
          <w:p>
            <w:pPr>
              <w:spacing w:after="0"/>
            </w:pPr>
            <w:r/>
            <w:r>
              <w:rPr>
                <w:rFonts w:ascii="Arial" w:hAnsi="Arial"/>
                <w:b w:val="0"/>
                <w:sz w:val="16"/>
              </w:rPr>
              <w:t>NMF/agglomerative ARI</w:t>
            </w:r>
          </w:p>
        </w:tc>
        <w:tc>
          <w:tcPr>
            <w:tcW w:type="dxa" w:w="1400"/>
          </w:tcPr>
          <w:p>
            <w:pPr>
              <w:spacing w:after="0"/>
            </w:pPr>
            <w:r/>
            <w:r>
              <w:rPr>
                <w:rFonts w:ascii="Arial" w:hAnsi="Arial"/>
                <w:b w:val="0"/>
                <w:sz w:val="16"/>
              </w:rPr>
              <w:t>0.3775</w:t>
            </w:r>
          </w:p>
        </w:tc>
        <w:tc>
          <w:tcPr>
            <w:tcW w:type="dxa" w:w="4560"/>
          </w:tcPr>
          <w:p>
            <w:pPr>
              <w:spacing w:after="0"/>
            </w:pPr>
            <w:r/>
            <w:r>
              <w:rPr>
                <w:rFonts w:ascii="Arial" w:hAnsi="Arial"/>
                <w:b w:val="0"/>
                <w:sz w:val="16"/>
              </w:rPr>
              <w:t>Some assignment agreement, but not semantic validation.</w:t>
            </w:r>
          </w:p>
        </w:tc>
      </w:tr>
      <w:tr>
        <w:trPr>
          <w:cantSplit/>
        </w:trPr>
        <w:tc>
          <w:tcPr>
            <w:tcW w:type="dxa" w:w="2800"/>
          </w:tcPr>
          <w:p>
            <w:pPr>
              <w:spacing w:after="0"/>
            </w:pPr>
            <w:r/>
            <w:r>
              <w:rPr>
                <w:rFonts w:ascii="Arial" w:hAnsi="Arial"/>
                <w:b w:val="0"/>
                <w:sz w:val="16"/>
              </w:rPr>
              <w:t>Maximum deal passage share</w:t>
            </w:r>
          </w:p>
        </w:tc>
        <w:tc>
          <w:tcPr>
            <w:tcW w:type="dxa" w:w="1400"/>
          </w:tcPr>
          <w:p>
            <w:pPr>
              <w:spacing w:after="0"/>
            </w:pPr>
            <w:r/>
            <w:r>
              <w:rPr>
                <w:rFonts w:ascii="Arial" w:hAnsi="Arial"/>
                <w:b w:val="0"/>
                <w:sz w:val="16"/>
              </w:rPr>
              <w:t>44.44%</w:t>
            </w:r>
          </w:p>
        </w:tc>
        <w:tc>
          <w:tcPr>
            <w:tcW w:type="dxa" w:w="4560"/>
          </w:tcPr>
          <w:p>
            <w:pPr>
              <w:spacing w:after="0"/>
            </w:pPr>
            <w:r/>
            <w:r>
              <w:rPr>
                <w:rFonts w:ascii="Arial" w:hAnsi="Arial"/>
                <w:b w:val="0"/>
                <w:sz w:val="16"/>
              </w:rPr>
              <w:t>Exceeds the 35% concentration threshold.</w:t>
            </w:r>
          </w:p>
        </w:tc>
      </w:tr>
      <w:tr>
        <w:trPr>
          <w:cantSplit/>
        </w:trPr>
        <w:tc>
          <w:tcPr>
            <w:tcW w:type="dxa" w:w="2800"/>
          </w:tcPr>
          <w:p>
            <w:pPr>
              <w:spacing w:after="0"/>
            </w:pPr>
            <w:r/>
            <w:r>
              <w:rPr>
                <w:rFonts w:ascii="Arial" w:hAnsi="Arial"/>
                <w:b w:val="0"/>
                <w:sz w:val="16"/>
              </w:rPr>
              <w:t>Human topic review</w:t>
            </w:r>
          </w:p>
        </w:tc>
        <w:tc>
          <w:tcPr>
            <w:tcW w:type="dxa" w:w="1400"/>
          </w:tcPr>
          <w:p>
            <w:pPr>
              <w:spacing w:after="0"/>
            </w:pPr>
            <w:r/>
            <w:r>
              <w:rPr>
                <w:rFonts w:ascii="Arial" w:hAnsi="Arial"/>
                <w:b w:val="0"/>
                <w:sz w:val="16"/>
              </w:rPr>
              <w:t>Blank</w:t>
            </w:r>
          </w:p>
        </w:tc>
        <w:tc>
          <w:tcPr>
            <w:tcW w:type="dxa" w:w="4560"/>
          </w:tcPr>
          <w:p>
            <w:pPr>
              <w:spacing w:after="0"/>
            </w:pPr>
            <w:r/>
            <w:r>
              <w:rPr>
                <w:rFonts w:ascii="Arial" w:hAnsi="Arial"/>
                <w:b w:val="0"/>
                <w:sz w:val="16"/>
              </w:rPr>
              <w:t>No human-approved labels.</w:t>
            </w:r>
          </w:p>
        </w:tc>
      </w:tr>
    </w:tbl>
    <w:p>
      <w:pPr>
        <w:spacing w:after="0"/>
      </w:pPr>
    </w:p>
    <w:p>
      <w:r>
        <w:t>The separate 10-deal pilot found an additional corpus-quality problem: included-passage relevance was 72.0% against a 90% gate, and missed relevant content among excluded candidates was 5.33% against a below-5% gate. That audit was performed on the pilot corpus, not the 100-deal output, but it is a warning that the passage screen must be repaired before interpreting topic differences substantively.</w:t>
      </w:r>
    </w:p>
    <w:p>
      <w:pPr>
        <w:pStyle w:val="Heading1"/>
      </w:pPr>
      <w:r>
        <w:t>6. What we can responsibly say</w:t>
      </w:r>
    </w:p>
    <w:p>
      <w:pPr>
        <w:pStyle w:val="ListBullet"/>
        <w:spacing w:after="40"/>
      </w:pPr>
      <w:r>
        <w:t>The model found recurring lexical patterns in a screened set of transaction-linked passages.</w:t>
      </w:r>
    </w:p>
    <w:p>
      <w:pPr>
        <w:pStyle w:val="ListBullet"/>
        <w:spacing w:after="40"/>
      </w:pPr>
      <w:r>
        <w:t>Topic 1 is heavily associated with one Zebra-Fetch source and worker/productivity wording.</w:t>
      </w:r>
    </w:p>
    <w:p>
      <w:pPr>
        <w:pStyle w:val="ListBullet"/>
        <w:spacing w:after="40"/>
      </w:pPr>
      <w:r>
        <w:t>Topic 2 mixes workforce-management and company-content language and has limited interpretive clarity.</w:t>
      </w:r>
    </w:p>
    <w:p>
      <w:pPr>
        <w:pStyle w:val="ListBullet"/>
        <w:spacing w:after="40"/>
      </w:pPr>
      <w:r>
        <w:t>Topic 3 is a broad generic AI/company-announcement cluster spanning the 13 deals with passages.</w:t>
      </w:r>
    </w:p>
    <w:p>
      <w:pPr>
        <w:pStyle w:val="ListBullet"/>
        <w:spacing w:after="40"/>
      </w:pPr>
      <w:r>
        <w:t>The output is useful for identifying passages that need human review and for designing a better corpus.</w:t>
      </w:r>
    </w:p>
    <w:p>
      <w:pPr>
        <w:pStyle w:val="Heading1"/>
      </w:pPr>
      <w:r>
        <w:t>7. What we cannot claim</w:t>
      </w:r>
    </w:p>
    <w:p>
      <w:pPr>
        <w:pStyle w:val="ListBullet"/>
        <w:spacing w:after="40"/>
      </w:pPr>
      <w:r>
        <w:t>The clusters are not validated employee-retention categories.</w:t>
      </w:r>
    </w:p>
    <w:p>
      <w:pPr>
        <w:pStyle w:val="ListBullet"/>
        <w:spacing w:after="40"/>
      </w:pPr>
      <w:r>
        <w:t>A dominant topic does not mean a company used that retention strategy.</w:t>
      </w:r>
    </w:p>
    <w:p>
      <w:pPr>
        <w:pStyle w:val="ListBullet"/>
        <w:spacing w:after="40"/>
      </w:pPr>
      <w:r>
        <w:t>A disclosed bonus, equity award, benefit, or service condition does not prove retention.</w:t>
      </w:r>
    </w:p>
    <w:p>
      <w:pPr>
        <w:pStyle w:val="ListBullet"/>
        <w:spacing w:after="40"/>
      </w:pPr>
      <w:r>
        <w:t>Zero passages do not prove that no employee arrangement existed.</w:t>
      </w:r>
    </w:p>
    <w:p>
      <w:pPr>
        <w:pStyle w:val="ListBullet"/>
        <w:spacing w:after="40"/>
      </w:pPr>
      <w:r>
        <w:t>The 100 selected candidate slots are not 100 completed or verified AI transactions.</w:t>
      </w:r>
    </w:p>
    <w:p>
      <w:pPr>
        <w:pStyle w:val="ListBullet"/>
        <w:spacing w:after="40"/>
      </w:pPr>
      <w:r>
        <w:t>The model does not measure company concern, employee motivation, or causal workforce outcomes.</w:t>
      </w:r>
    </w:p>
    <w:p>
      <w:pPr>
        <w:pStyle w:val="Heading1"/>
      </w:pPr>
      <w:r>
        <w:t>8. Recommended next step</w:t>
      </w:r>
    </w:p>
    <w:p>
      <w:pPr>
        <w:pStyle w:val="ListNumber"/>
        <w:spacing w:after="40"/>
      </w:pPr>
      <w:r>
        <w:t>Repair the passage screen using the 150-row human relevance audit.</w:t>
      </w:r>
    </w:p>
    <w:p>
      <w:pPr>
        <w:pStyle w:val="ListNumber"/>
        <w:spacing w:after="40"/>
      </w:pPr>
      <w:r>
        <w:t>Separate official deal announcements from product-marketing and unrelated company pages.</w:t>
      </w:r>
    </w:p>
    <w:p>
      <w:pPr>
        <w:pStyle w:val="ListNumber"/>
        <w:spacing w:after="40"/>
      </w:pPr>
      <w:r>
        <w:t>Rebuild the passage corpus with one stable deal/document/passage provenance chain.</w:t>
      </w:r>
    </w:p>
    <w:p>
      <w:pPr>
        <w:pStyle w:val="ListNumber"/>
        <w:spacing w:after="40"/>
      </w:pPr>
      <w:r>
        <w:t>Rerun the topic model and concentration/stability diagnostics.</w:t>
      </w:r>
    </w:p>
    <w:p>
      <w:pPr>
        <w:pStyle w:val="ListNumber"/>
        <w:spacing w:after="40"/>
      </w:pPr>
      <w:r>
        <w:t>Have two real reviewers code representative passages before naming or releasing any cluster.</w:t>
      </w:r>
    </w:p>
    <w:p>
      <w:pPr>
        <w:pStyle w:val="ListNumber"/>
        <w:spacing w:after="40"/>
      </w:pPr>
      <w:r>
        <w:t>Only after human validation, decide whether to create a codebook and later supervised classifier.</w:t>
      </w:r>
    </w:p>
    <w:p>
      <w:pPr>
        <w:pStyle w:val="Heading1"/>
      </w:pPr>
      <w:r>
        <w:t>Source artifacts</w:t>
      </w:r>
    </w:p>
    <w:p>
      <w:pPr>
        <w:pStyle w:val="ListBullet"/>
        <w:spacing w:after="40"/>
      </w:pPr>
      <w:r>
        <w:t>frozen_ai_manifest.csv - all 119 candidate/reserve rows.</w:t>
      </w:r>
    </w:p>
    <w:p>
      <w:pPr>
        <w:pStyle w:val="ListBullet"/>
        <w:spacing w:after="40"/>
      </w:pPr>
      <w:r>
        <w:t>deal_source_register.csv - source and evidence register.</w:t>
      </w:r>
    </w:p>
    <w:p>
      <w:pPr>
        <w:pStyle w:val="ListBullet"/>
        <w:spacing w:after="40"/>
      </w:pPr>
      <w:r>
        <w:t>topic_assignments.csv - passage-level assignments and supporting excerpts.</w:t>
      </w:r>
    </w:p>
    <w:p>
      <w:pPr>
        <w:pStyle w:val="ListBullet"/>
        <w:spacing w:after="40"/>
      </w:pPr>
      <w:r>
        <w:t>deal_by_topic.csv - deal-level normalized topic weights.</w:t>
      </w:r>
    </w:p>
    <w:p>
      <w:pPr>
        <w:pStyle w:val="ListBullet"/>
        <w:spacing w:after="40"/>
      </w:pPr>
      <w:r>
        <w:t>topic_summary.csv - top terms and stability fields.</w:t>
      </w:r>
    </w:p>
    <w:p>
      <w:pPr>
        <w:pStyle w:val="ListBullet"/>
        <w:spacing w:after="40"/>
      </w:pPr>
      <w:r>
        <w:t>analysis_manifest.json - configuration, hashes, and status.</w:t>
      </w:r>
    </w:p>
    <w:p>
      <w:pPr>
        <w:pStyle w:val="ListBullet"/>
        <w:spacing w:after="40"/>
      </w:pPr>
      <w:r>
        <w:t>docs/unsupervised_models_progress.md - complete history of the unsupervised-model work.</w:t>
      </w:r>
    </w:p>
    <w:sectPr w:rsidR="00FC693F" w:rsidRPr="0006063C" w:rsidSect="00034616">
      <w:headerReference w:type="default" r:id="rId9"/>
      <w:footerReference w:type="default" r:id="rId10"/>
      <w:pgSz w:w="12240" w:h="15840"/>
      <w:pgMar w:top="1224" w:right="1224" w:bottom="1152"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Exploratory analysis - source-backed but not human-verified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6464"/>
        <w:sz w:val="16"/>
      </w:rPr>
      <w:t>TAG INTERNSHIP | AI-100 CLUSTERING RESULTS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1F4D78"/>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AI-100 Candidate Expansion and Clustering Results Report</dc:title>
  <dc:subject>Deals, unsupervised topic assignments, and interpretation limits</dc:subject>
  <dc:creator>TAG Internship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