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Employee-treatment language in technology acquisitions</w:t>
      </w:r>
    </w:p>
    <w:p>
      <w:pPr>
        <w:pStyle w:val="Heading2"/>
      </w:pPr>
      <w:r>
        <w:t>A disclosure-first study of 133 transactions, with an unsupervised model of what their filings say about people</w:t>
      </w:r>
    </w:p>
    <w:p>
      <w:pPr>
        <w:jc w:val="left"/>
      </w:pPr>
      <w:r>
        <w:t xml:space="preserve">Georgia Tech TAG Internship. Student researcher: Aarav Nagar. Research supervisor: Dr. Manpreet Singh. Prepared 2026-09-02. Branch </w:t>
      </w:r>
      <w:r>
        <w:rPr>
          <w:rFonts w:ascii="Consolas" w:hAnsi="Consolas"/>
          <w:sz w:val="18"/>
        </w:rPr>
        <w:t>aarav/aug21-pilot-completion</w:t>
      </w:r>
      <w:r>
        <w:t>.</w:t>
      </w:r>
    </w:p>
    <w:p>
      <w:pPr>
        <w:jc w:val="left"/>
      </w:pPr>
      <w:r>
        <w:rPr>
          <w:b/>
        </w:rPr>
        <w:t>Status: provisional.</w:t>
      </w:r>
      <w:r>
        <w:t xml:space="preserve"> One human quality check was not run for this cycle. Section 9 says exactly what that means. Nothing in this report is presented as a validated finding.</w:t>
      </w:r>
    </w:p>
    <w:p>
      <w:r>
        <w:br w:type="page"/>
      </w:r>
    </w:p>
    <w:p>
      <w:pPr>
        <w:pStyle w:val="Heading1"/>
      </w:pPr>
      <w:r>
        <w:t>1. What this study asks</w:t>
      </w:r>
    </w:p>
    <w:p>
      <w:pPr>
        <w:pStyle w:val="ListBullet"/>
      </w:pPr>
      <w:r>
        <w:t xml:space="preserve">When one company buys another, </w:t>
      </w:r>
      <w:r>
        <w:rPr>
          <w:b/>
        </w:rPr>
        <w:t>what does it put in writing about the people it is acquiring?</w:t>
      </w:r>
    </w:p>
    <w:p>
      <w:pPr>
        <w:pStyle w:val="ListBullet"/>
      </w:pPr>
      <w:r>
        <w:t xml:space="preserve">Not what it says in interviews. Not what happened afterwards. </w:t>
      </w:r>
      <w:r>
        <w:rPr>
          <w:b/>
        </w:rPr>
        <w:t>What the binding documents disclose.</w:t>
      </w:r>
    </w:p>
    <w:p>
      <w:pPr>
        <w:pStyle w:val="ListBullet"/>
      </w:pPr>
      <w:r>
        <w:t>This is empirical corporate-finance and human-capital research. It is not stock prediction and not legal advice.</w:t>
      </w:r>
    </w:p>
    <w:p>
      <w:pPr>
        <w:pStyle w:val="Heading2"/>
      </w:pPr>
      <w:r>
        <w:t>1.1 Why the question is answerable at all</w:t>
      </w:r>
    </w:p>
    <w:p>
      <w:pPr>
        <w:pStyle w:val="ListBullet"/>
      </w:pPr>
      <w:r>
        <w:t>United States securities law forces buyers and targets to file certain documents publicly.</w:t>
      </w:r>
    </w:p>
    <w:p>
      <w:pPr>
        <w:pStyle w:val="ListBullet"/>
      </w:pPr>
      <w:r>
        <w:t xml:space="preserve">Merger agreements routinely contain an </w:t>
      </w:r>
      <w:r>
        <w:rPr>
          <w:b/>
        </w:rPr>
        <w:t>employee-matters article</w:t>
      </w:r>
      <w:r>
        <w:t>: promises about pay, benefits, equity and severance after closing.</w:t>
      </w:r>
    </w:p>
    <w:p>
      <w:pPr>
        <w:pStyle w:val="ListBullet"/>
      </w:pPr>
      <w:r>
        <w:t xml:space="preserve">Merger proxies contain sections on </w:t>
      </w:r>
      <w:r>
        <w:rPr>
          <w:b/>
        </w:rPr>
        <w:t>what executives and directors receive</w:t>
      </w:r>
      <w:r>
        <w:t xml:space="preserve"> because of the deal.</w:t>
      </w:r>
    </w:p>
    <w:p>
      <w:pPr>
        <w:pStyle w:val="ListBullet"/>
      </w:pPr>
      <w:r>
        <w:t>So there is a real, large, free corpus of text about how transactions treat employees.</w:t>
      </w:r>
    </w:p>
    <w:p>
      <w:pPr>
        <w:pStyle w:val="Heading2"/>
      </w:pPr>
      <w:r>
        <w:t>1.2 What the question is not</w:t>
      </w:r>
    </w:p>
    <w:p>
      <w:pPr>
        <w:pStyle w:val="ListBullet"/>
      </w:pPr>
      <w:r>
        <w:t xml:space="preserve">We are </w:t>
      </w:r>
      <w:r>
        <w:rPr>
          <w:b/>
        </w:rPr>
        <w:t>not</w:t>
      </w:r>
      <w:r>
        <w:t xml:space="preserve"> measuring whether employees stayed. That requires employment data we do not have.</w:t>
      </w:r>
    </w:p>
    <w:p>
      <w:pPr>
        <w:pStyle w:val="ListBullet"/>
      </w:pPr>
      <w:r>
        <w:t xml:space="preserve">We are </w:t>
      </w:r>
      <w:r>
        <w:rPr>
          <w:b/>
        </w:rPr>
        <w:t>not</w:t>
      </w:r>
      <w:r>
        <w:t xml:space="preserve"> measuring whether employees were treated well. A promise in a contract is a promise.</w:t>
      </w:r>
    </w:p>
    <w:p>
      <w:pPr>
        <w:pStyle w:val="ListBullet"/>
      </w:pPr>
      <w:r>
        <w:t xml:space="preserve">We are </w:t>
      </w:r>
      <w:r>
        <w:rPr>
          <w:b/>
        </w:rPr>
        <w:t>not</w:t>
      </w:r>
      <w:r>
        <w:t xml:space="preserve"> claiming these deals represent all acquisitions. Section 9 explains why they cannot.</w:t>
      </w:r>
    </w:p>
    <w:p>
      <w:r>
        <w:br w:type="page"/>
      </w:r>
    </w:p>
    <w:p>
      <w:pPr>
        <w:pStyle w:val="Heading1"/>
      </w:pPr>
      <w:r>
        <w:t>2. The prior approach, and exactly how it failed</w:t>
      </w:r>
    </w:p>
    <w:p>
      <w:pPr>
        <w:jc w:val="left"/>
      </w:pPr>
      <w:r>
        <w:t xml:space="preserve">The earlier version of this project selected deals by asking </w:t>
      </w:r>
      <w:r>
        <w:rPr>
          <w:b/>
        </w:rPr>
        <w:t>"is the target an AI company?"</w:t>
      </w:r>
      <w:r>
        <w:t xml:space="preserve"> and then went looking for filings. This is the natural order and it does not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 in the old approach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AI keyword screen over company names and descriptions</w:t>
            </w:r>
          </w:p>
        </w:tc>
        <w:tc>
          <w:tcPr>
            <w:tcW w:type="dxa" w:w="4320"/>
          </w:tcPr>
          <w:p>
            <w:r/>
            <w:r>
              <w:t>119 candidate deals</w:t>
            </w:r>
          </w:p>
        </w:tc>
      </w:tr>
      <w:tr>
        <w:tc>
          <w:tcPr>
            <w:tcW w:type="dxa" w:w="4320"/>
          </w:tcPr>
          <w:p>
            <w:r/>
            <w:r>
              <w:t>Acquirer could not be found on the SEC system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57 of 119 dropped</w:t>
            </w:r>
          </w:p>
        </w:tc>
      </w:tr>
      <w:tr>
        <w:tc>
          <w:tcPr>
            <w:tcW w:type="dxa" w:w="4320"/>
          </w:tcPr>
          <w:p>
            <w:r/>
            <w:r>
              <w:t>Machine-qualified, pending human review</w:t>
            </w:r>
          </w:p>
        </w:tc>
        <w:tc>
          <w:tcPr>
            <w:tcW w:type="dxa" w:w="4320"/>
          </w:tcPr>
          <w:p>
            <w:r/>
            <w:r>
              <w:t>35</w:t>
            </w:r>
          </w:p>
        </w:tc>
      </w:tr>
      <w:tr>
        <w:tc>
          <w:tcPr>
            <w:tcW w:type="dxa" w:w="4320"/>
          </w:tcPr>
          <w:p>
            <w:r/>
            <w:r>
              <w:t>Deals that produced any employee text at all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t>Unique employee passages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72</w:t>
            </w:r>
          </w:p>
        </w:tc>
      </w:tr>
      <w:tr>
        <w:tc>
          <w:tcPr>
            <w:tcW w:type="dxa" w:w="4320"/>
          </w:tcPr>
          <w:p>
            <w:r/>
            <w:r>
              <w:t>Share of that text from a single deal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44%</w:t>
            </w:r>
          </w:p>
        </w:tc>
      </w:tr>
    </w:tbl>
    <w:p/>
    <w:p>
      <w:pPr>
        <w:pStyle w:val="Heading2"/>
      </w:pPr>
      <w:r>
        <w:t>2.1 The diagnosis</w:t>
      </w:r>
    </w:p>
    <w:p>
      <w:pPr>
        <w:pStyle w:val="ListBullet"/>
      </w:pPr>
      <w:r>
        <w:t xml:space="preserve">The acquirers that buy AI startups are disproportionately </w:t>
      </w:r>
      <w:r>
        <w:rPr>
          <w:b/>
        </w:rPr>
        <w:t>private companies, private-equity funds, and foreign corporations</w:t>
      </w:r>
      <w:r>
        <w:t>.</w:t>
      </w:r>
    </w:p>
    <w:p>
      <w:pPr>
        <w:pStyle w:val="ListBullet"/>
      </w:pPr>
      <w:r>
        <w:t>Examples that could not be resolved: Progressive AE, Tie Industrial, LFM Capital, Siemens AG, AXA SA, BAE.</w:t>
      </w:r>
    </w:p>
    <w:p>
      <w:pPr>
        <w:pStyle w:val="ListBullet"/>
      </w:pPr>
      <w:r>
        <w:rPr>
          <w:b/>
        </w:rPr>
        <w:t>Entities like these do not file with the SEC.</w:t>
      </w:r>
      <w:r>
        <w:t xml:space="preserve"> There is no document to read, so there is no evidence, no matter how interesting the deal is.</w:t>
      </w:r>
    </w:p>
    <w:p>
      <w:pPr>
        <w:pStyle w:val="ListBullet"/>
      </w:pPr>
      <w:r>
        <w:t>The screen also produced false positives, pulling in robotics and lawn-mower manufacturers on the strength of the word "autonomous".</w:t>
      </w:r>
    </w:p>
    <w:p>
      <w:pPr>
        <w:pStyle w:val="Heading2"/>
      </w:pPr>
      <w:r>
        <w:t>2.2 The insight that changed the design</w:t>
      </w:r>
    </w:p>
    <w:p>
      <w:pPr>
        <w:pStyle w:val="ListBullet"/>
      </w:pPr>
      <w:r>
        <w:t xml:space="preserve">Whether employee text exists is </w:t>
      </w:r>
      <w:r>
        <w:rPr>
          <w:b/>
        </w:rPr>
        <w:t>almost entirely a property of the buyer, not the target.</w:t>
      </w:r>
    </w:p>
    <w:p>
      <w:pPr>
        <w:pStyle w:val="ListBullet"/>
      </w:pPr>
      <w:r>
        <w:t xml:space="preserve">The predictor is: </w:t>
      </w:r>
      <w:r>
        <w:rPr>
          <w:b/>
        </w:rPr>
        <w:t>is the acquirer an SEC registrant that filed the transaction agreement?</w:t>
      </w:r>
    </w:p>
    <w:p>
      <w:pPr>
        <w:pStyle w:val="ListBullet"/>
      </w:pPr>
      <w:r>
        <w:t>Evidence from our own pilot, holding the target type constant: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Employee passages</w:t>
            </w:r>
          </w:p>
        </w:tc>
      </w:tr>
      <w:tr>
        <w:tc>
          <w:tcPr>
            <w:tcW w:type="dxa" w:w="2880"/>
          </w:tcPr>
          <w:p>
            <w:r/>
            <w:r>
              <w:t>Intuit / Mailchimp</w:t>
            </w:r>
          </w:p>
        </w:tc>
        <w:tc>
          <w:tcPr>
            <w:tcW w:type="dxa" w:w="2880"/>
          </w:tcPr>
          <w:p>
            <w:r/>
            <w:r>
              <w:t>private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84</w:t>
            </w:r>
          </w:p>
        </w:tc>
      </w:tr>
      <w:tr>
        <w:tc>
          <w:tcPr>
            <w:tcW w:type="dxa" w:w="2880"/>
          </w:tcPr>
          <w:p>
            <w:r/>
            <w:r>
              <w:t>Fastly / Glitch</w:t>
            </w:r>
          </w:p>
        </w:tc>
        <w:tc>
          <w:tcPr>
            <w:tcW w:type="dxa" w:w="2880"/>
          </w:tcPr>
          <w:p>
            <w:r/>
            <w:r>
              <w:t>private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Oracle / Cerner</w:t>
            </w:r>
          </w:p>
        </w:tc>
        <w:tc>
          <w:tcPr>
            <w:tcW w:type="dxa" w:w="2880"/>
          </w:tcPr>
          <w:p>
            <w:r/>
            <w:r>
              <w:t>public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541</w:t>
            </w:r>
          </w:p>
        </w:tc>
      </w:tr>
      <w:tr>
        <w:tc>
          <w:tcPr>
            <w:tcW w:type="dxa" w:w="2880"/>
          </w:tcPr>
          <w:p>
            <w:r/>
            <w:r>
              <w:t>Take-Two / Zynga</w:t>
            </w:r>
          </w:p>
        </w:tc>
        <w:tc>
          <w:tcPr>
            <w:tcW w:type="dxa" w:w="2880"/>
          </w:tcPr>
          <w:p>
            <w:r/>
            <w:r>
              <w:t>public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607</w:t>
            </w:r>
          </w:p>
        </w:tc>
      </w:tr>
    </w:tbl>
    <w:p/>
    <w:p>
      <w:pPr>
        <w:pStyle w:val="ListBullet"/>
      </w:pPr>
      <w:r>
        <w:t>Both Mailchimp and Glitch were private targets. The difference is entirely on the buyer's side.</w:t>
      </w:r>
    </w:p>
    <w:p>
      <w:pPr>
        <w:pStyle w:val="ListBullet"/>
      </w:pPr>
      <w:r>
        <w:rPr>
          <w:b/>
        </w:rPr>
        <w:t>72 passages cannot support a topic model.</w:t>
      </w:r>
      <w:r>
        <w:t xml:space="preserve"> A half-sample stability test on the old corpus scored </w:t>
      </w:r>
      <w:r>
        <w:rPr>
          <w:b/>
        </w:rPr>
        <w:t>0.246</w:t>
      </w:r>
      <w:r>
        <w:t>. The result was not weak, it was absent.</w:t>
      </w:r>
    </w:p>
    <w:p>
      <w:r>
        <w:br w:type="page"/>
      </w:r>
    </w:p>
    <w:p>
      <w:pPr>
        <w:pStyle w:val="Heading1"/>
      </w:pPr>
      <w:r>
        <w:t>3. The new methodology</w:t>
      </w:r>
    </w:p>
    <w:p>
      <w:pPr>
        <w:pStyle w:val="Heading2"/>
      </w:pPr>
      <w:r>
        <w:t>3.1 The principle</w:t>
      </w:r>
    </w:p>
    <w:p>
      <w:pPr>
        <w:pStyle w:val="ListBullet"/>
      </w:pPr>
      <w:r>
        <w:rPr>
          <w:b/>
        </w:rPr>
        <w:t>Select on disclosure, not on subject matter.</w:t>
      </w:r>
    </w:p>
    <w:p>
      <w:pPr>
        <w:pStyle w:val="ListBullet"/>
      </w:pPr>
      <w:r>
        <w:t>Find transactions whose filings provably exist, retrieve them, and only then ask which ones are about AI.</w:t>
      </w:r>
    </w:p>
    <w:p>
      <w:pPr>
        <w:pStyle w:val="ListBullet"/>
      </w:pPr>
      <w:r>
        <w:t xml:space="preserve">"AI" becomes a </w:t>
      </w:r>
      <w:r>
        <w:rPr>
          <w:b/>
        </w:rPr>
        <w:t>label applied after selection</w:t>
      </w:r>
      <w:r>
        <w:t>, which converts an unanswerable question into an answerable one: *among deals whose employee terms are public, how many are described in AI terms?*</w:t>
      </w:r>
    </w:p>
    <w:p>
      <w:pPr>
        <w:pStyle w:val="Heading2"/>
      </w:pPr>
      <w:r>
        <w:t>3.2 Stage 1 — Build a candidate pool (offline, deterministic)</w:t>
      </w:r>
    </w:p>
    <w:p>
      <w:pPr>
        <w:jc w:val="left"/>
      </w:pPr>
      <w:r>
        <w:t xml:space="preserve">Rule frozen in </w:t>
      </w:r>
      <w:r>
        <w:rPr>
          <w:rFonts w:ascii="Consolas" w:hAnsi="Consolas"/>
          <w:sz w:val="18"/>
        </w:rPr>
        <w:t>config/disclosure_pool.toml</w:t>
      </w:r>
      <w:r>
        <w:t xml:space="preserve">, version </w:t>
      </w:r>
      <w:r>
        <w:rPr>
          <w:rFonts w:ascii="Consolas" w:hAnsi="Consolas"/>
          <w:sz w:val="18"/>
        </w:rPr>
        <w:t>disclosure-first-v1</w:t>
      </w:r>
      <w:r>
        <w:t>:</w:t>
      </w:r>
    </w:p>
    <w:p>
      <w:pPr>
        <w:pStyle w:val="ListBullet"/>
      </w:pPr>
      <w:r>
        <w:t xml:space="preserve">The acquirer must resolve to an SEC filer identifier at </w:t>
      </w:r>
      <w:r>
        <w:rPr>
          <w:b/>
        </w:rPr>
        <w:t>high or medium</w:t>
      </w:r>
      <w:r>
        <w:t xml:space="preserve"> confidence.</w:t>
      </w:r>
    </w:p>
    <w:p>
      <w:pPr>
        <w:pStyle w:val="ListBullet"/>
      </w:pPr>
      <w:r>
        <w:t xml:space="preserve">The target's industry code must appear in a </w:t>
      </w:r>
      <w:r>
        <w:rPr>
          <w:b/>
        </w:rPr>
        <w:t>24-code digital-technology list</w:t>
      </w:r>
      <w:r>
        <w:t xml:space="preserve"> taken from the SEC's own classification.</w:t>
      </w:r>
    </w:p>
    <w:p>
      <w:pPr>
        <w:pStyle w:val="ListBullet"/>
      </w:pPr>
      <w:r>
        <w:t>The deal must have an announcement date.</w:t>
      </w:r>
    </w:p>
    <w:p>
      <w:pPr>
        <w:pStyle w:val="ListBullet"/>
      </w:pPr>
      <w:r>
        <w:rPr>
          <w:b/>
        </w:rPr>
        <w:t>No minimum deal size.</w:t>
      </w:r>
      <w:r>
        <w:t xml:space="preserve"> Deal value is missing for about 70% of the database, so a size filter would silently discard cases on a data-quality accident rather than on substance.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Pool construction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</w:tr>
      <w:tr>
        <w:tc>
          <w:tcPr>
            <w:tcW w:type="dxa" w:w="4320"/>
          </w:tcPr>
          <w:p>
            <w:r/>
            <w:r>
              <w:t>Starting deal database (Thomson/SDC)</w:t>
            </w:r>
          </w:p>
        </w:tc>
        <w:tc>
          <w:tcPr>
            <w:tcW w:type="dxa" w:w="4320"/>
          </w:tcPr>
          <w:p>
            <w:r/>
            <w:r>
              <w:t>26,369</w:t>
            </w:r>
          </w:p>
        </w:tc>
      </w:tr>
      <w:tr>
        <w:tc>
          <w:tcPr>
            <w:tcW w:type="dxa" w:w="4320"/>
          </w:tcPr>
          <w:p>
            <w:r/>
            <w:r>
              <w:t>Removed: acquirer not resolvable on SEC</w:t>
            </w:r>
          </w:p>
        </w:tc>
        <w:tc>
          <w:tcPr>
            <w:tcW w:type="dxa" w:w="4320"/>
          </w:tcPr>
          <w:p>
            <w:r/>
            <w:r>
              <w:t>−21,651</w:t>
            </w:r>
          </w:p>
        </w:tc>
      </w:tr>
      <w:tr>
        <w:tc>
          <w:tcPr>
            <w:tcW w:type="dxa" w:w="4320"/>
          </w:tcPr>
          <w:p>
            <w:r/>
            <w:r>
              <w:t>Removed: target outside the technology screen</w:t>
            </w:r>
          </w:p>
        </w:tc>
        <w:tc>
          <w:tcPr>
            <w:tcW w:type="dxa" w:w="4320"/>
          </w:tcPr>
          <w:p>
            <w:r/>
            <w:r>
              <w:t>−3,658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 pool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1,060</w:t>
            </w:r>
          </w:p>
        </w:tc>
      </w:tr>
    </w:tbl>
    <w:p/>
    <w:p>
      <w:pPr>
        <w:pStyle w:val="Heading2"/>
      </w:pPr>
      <w:r>
        <w:t>3.3 Stage 2 — Probe the SEC before downloading anything</w:t>
      </w:r>
    </w:p>
    <w:p>
      <w:pPr>
        <w:jc w:val="left"/>
      </w:pPr>
      <w:r>
        <w:t>This is the step that makes the method affordable.</w:t>
      </w:r>
    </w:p>
    <w:p>
      <w:pPr>
        <w:pStyle w:val="ListBullet"/>
      </w:pPr>
      <w:r>
        <w:t xml:space="preserve">For each of the 1,060 deals, read the acquirer's </w:t>
      </w:r>
      <w:r>
        <w:rPr>
          <w:b/>
        </w:rPr>
        <w:t>filing index</w:t>
      </w:r>
      <w:r>
        <w:t xml:space="preserve"> and ask a narrow question: *did this company file anything about this transaction?*</w:t>
      </w:r>
    </w:p>
    <w:p>
      <w:pPr>
        <w:pStyle w:val="ListBullet"/>
      </w:pPr>
      <w:r>
        <w:t xml:space="preserve">The search window is the same one the retrieval code uses: </w:t>
      </w:r>
      <w:r>
        <w:rPr>
          <w:b/>
        </w:rPr>
        <w:t>30 days before announcement to 30 days after closing</w:t>
      </w:r>
      <w:r>
        <w:t>, or a year if no closing date is recorded.</w:t>
      </w:r>
    </w:p>
    <w:p>
      <w:pPr>
        <w:pStyle w:val="ListBullet"/>
      </w:pPr>
      <w:r>
        <w:t>Outcomes are ranked, best evidence first: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Probe outcome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agreement_exhibit</w:t>
            </w:r>
          </w:p>
        </w:tc>
        <w:tc>
          <w:tcPr>
            <w:tcW w:type="dxa" w:w="2880"/>
          </w:tcPr>
          <w:p>
            <w:r/>
            <w:r>
              <w:t>The merger or purchase agreement itself was filed</w:t>
            </w:r>
          </w:p>
        </w:tc>
        <w:tc>
          <w:tcPr>
            <w:tcW w:type="dxa" w:w="2880"/>
          </w:tcPr>
          <w:p>
            <w:r/>
            <w:r>
              <w:t>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merger_proxy</w:t>
            </w:r>
          </w:p>
        </w:tc>
        <w:tc>
          <w:tcPr>
            <w:tcW w:type="dxa" w:w="2880"/>
          </w:tcPr>
          <w:p>
            <w:r/>
            <w:r>
              <w:t>A merger proxy or tender-offer statement was filed</w:t>
            </w:r>
          </w:p>
        </w:tc>
        <w:tc>
          <w:tcPr>
            <w:tcW w:type="dxa" w:w="2880"/>
          </w:tcPr>
          <w:p>
            <w:r/>
            <w:r>
              <w:t>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announcement_only</w:t>
            </w:r>
          </w:p>
        </w:tc>
        <w:tc>
          <w:tcPr>
            <w:tcW w:type="dxa" w:w="2880"/>
          </w:tcPr>
          <w:p>
            <w:r/>
            <w:r>
              <w:t>Only a press release in the window</w:t>
            </w:r>
          </w:p>
        </w:tc>
        <w:tc>
          <w:tcPr>
            <w:tcW w:type="dxa" w:w="2880"/>
          </w:tcPr>
          <w:p>
            <w:r/>
            <w:r>
              <w:t>724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no_transaction_filing</w:t>
            </w:r>
          </w:p>
        </w:tc>
        <w:tc>
          <w:tcPr>
            <w:tcW w:type="dxa" w:w="2880"/>
          </w:tcPr>
          <w:p>
            <w:r/>
            <w:r>
              <w:t>Nothing filed in the window</w:t>
            </w:r>
          </w:p>
        </w:tc>
        <w:tc>
          <w:tcPr>
            <w:tcW w:type="dxa" w:w="2880"/>
          </w:tcPr>
          <w:p>
            <w:r/>
            <w:r>
              <w:t>166</w:t>
            </w:r>
          </w:p>
        </w:tc>
      </w:tr>
    </w:tbl>
    <w:p/>
    <w:p>
      <w:pPr>
        <w:pStyle w:val="ListBullet"/>
      </w:pPr>
      <w:r>
        <w:rPr>
          <w:b/>
        </w:rPr>
        <w:t>170 deals were probe-positive.</w:t>
      </w:r>
      <w:r>
        <w:t xml:space="preserve"> For </w:t>
      </w:r>
      <w:r>
        <w:rPr>
          <w:b/>
        </w:rPr>
        <w:t>112</w:t>
      </w:r>
      <w:r>
        <w:t xml:space="preserve"> of them, the acquirer's own filing </w:t>
      </w:r>
      <w:r>
        <w:rPr>
          <w:b/>
        </w:rPr>
        <w:t>names the target</w:t>
      </w:r>
      <w:r>
        <w:t>, which corroborates both the transaction and the company match from the filer's own document rather than from name similarity.</w:t>
      </w:r>
    </w:p>
    <w:p>
      <w:pPr>
        <w:pStyle w:val="Heading3"/>
      </w:pPr>
      <w:r>
        <w:t>Two errors found and fixed at this stage</w:t>
      </w:r>
    </w:p>
    <w:p>
      <w:pPr>
        <w:pStyle w:val="ListBullet"/>
      </w:pPr>
      <w:r>
        <w:rPr>
          <w:b/>
        </w:rPr>
        <w:t>The window was initially too short.</w:t>
      </w:r>
      <w:r>
        <w:t xml:space="preserve"> A 60-day window classified Take-Two/Zynga and Intuit/Mailchimp as press-release-only, although both produced hundreds of passages in the pilot. Merger proxies and tender offers are filed </w:t>
      </w:r>
      <w:r>
        <w:rPr>
          <w:b/>
        </w:rPr>
        <w:t>months</w:t>
      </w:r>
      <w:r>
        <w:t xml:space="preserve"> after announcement; Take-Two's landed at </w:t>
      </w:r>
      <w:r>
        <w:rPr>
          <w:b/>
        </w:rPr>
        <w:t>day 133</w:t>
      </w:r>
      <w:r>
        <w:t>. The probe now uses the retrieval window, so it predicts what retrieval will actually find.</w:t>
      </w:r>
    </w:p>
    <w:p>
      <w:pPr>
        <w:pStyle w:val="ListBullet"/>
      </w:pPr>
      <w:r>
        <w:rPr>
          <w:b/>
        </w:rPr>
        <w:t>Exhibit types were read from the wrong field.</w:t>
      </w:r>
      <w:r>
        <w:t xml:space="preserve"> The filing directory's JSON </w:t>
      </w:r>
      <w:r>
        <w:rPr>
          <w:rFonts w:ascii="Consolas" w:hAnsi="Consolas"/>
          <w:sz w:val="18"/>
        </w:rPr>
        <w:t>type</w:t>
      </w:r>
      <w:r>
        <w:t xml:space="preserve"> field holds the </w:t>
      </w:r>
      <w:r>
        <w:rPr>
          <w:b/>
        </w:rPr>
        <w:t>icon filename</w:t>
      </w:r>
      <w:r>
        <w:t>, not the SEC exhibit type. Every agreement lookup silently failed. Exhibit types now come from the filing detail page.</w:t>
      </w:r>
    </w:p>
    <w:p>
      <w:pPr>
        <w:pStyle w:val="Heading2"/>
      </w:pPr>
      <w:r>
        <w:t>3.4 Stage 3 — Retrieve</w:t>
      </w:r>
    </w:p>
    <w:p>
      <w:pPr>
        <w:pStyle w:val="ListBullet"/>
      </w:pPr>
      <w:r>
        <w:t xml:space="preserve">We queued </w:t>
      </w:r>
      <w:r>
        <w:rPr>
          <w:b/>
        </w:rPr>
        <w:t>400 deals</w:t>
      </w:r>
      <w:r>
        <w:t>: all 170 probe-positive, plus the 230 press-release-only deals with the most filings in their window.</w:t>
      </w:r>
    </w:p>
    <w:p>
      <w:pPr>
        <w:pStyle w:val="ListBullet"/>
      </w:pPr>
      <w:r>
        <w:rPr>
          <w:b/>
        </w:rPr>
        <w:t>Why include the "weaker" group:</w:t>
      </w:r>
      <w:r>
        <w:t xml:space="preserve"> Microsoft/Nuance is press-release-only by this test and produced 231 passages in the pilot. Excluding them on principle would have discarded real evidence.</w:t>
      </w:r>
    </w:p>
    <w:p>
      <w:pPr>
        <w:pStyle w:val="ListBullet"/>
      </w:pPr>
      <w:r>
        <w:t xml:space="preserve">That judgement was correct: </w:t>
      </w:r>
      <w:r>
        <w:rPr>
          <w:b/>
        </w:rPr>
        <w:t>32 of the final 133 deals</w:t>
      </w:r>
      <w:r>
        <w:t xml:space="preserve"> came from the press-release-only group.</w:t>
      </w:r>
    </w:p>
    <w:p>
      <w:pPr>
        <w:pStyle w:val="ListBullet"/>
      </w:pPr>
      <w:r>
        <w:t xml:space="preserve">Retrieval result: </w:t>
      </w:r>
      <w:r>
        <w:rPr>
          <w:b/>
        </w:rPr>
        <w:t>35,296 documents, 96,936 pattern matches, zero failures.</w:t>
      </w:r>
    </w:p>
    <w:p>
      <w:pPr>
        <w:pStyle w:val="Heading2"/>
      </w:pPr>
      <w:r>
        <w:t>3.5 Stage 4 — Build the passage corpus</w:t>
      </w:r>
    </w:p>
    <w:p>
      <w:pPr>
        <w:pStyle w:val="ListBullet"/>
      </w:pPr>
      <w:r>
        <w:t xml:space="preserve">A </w:t>
      </w:r>
      <w:r>
        <w:rPr>
          <w:b/>
        </w:rPr>
        <w:t>passage</w:t>
      </w:r>
      <w:r>
        <w:t xml:space="preserve"> is one block of text from a transaction-linked filing that mentions employees, pay, benefits, equity, retention, severance, or employment terms.</w:t>
      </w:r>
    </w:p>
    <w:p>
      <w:pPr>
        <w:pStyle w:val="ListBullet"/>
      </w:pPr>
      <w:r>
        <w:t>Documents unrelated to the deal are excluded even when the buyer filed them in the window. This matters: JPMorgan filed 2,379 documents in its window, of which almost none concerned the deal.</w:t>
      </w:r>
    </w:p>
    <w:p>
      <w:pPr>
        <w:pStyle w:val="ListBullet"/>
      </w:pPr>
      <w:r>
        <w:t xml:space="preserve">Exact duplicates collapse to one row. Near-identical legal boilerplate is grouped into </w:t>
      </w:r>
      <w:r>
        <w:rPr>
          <w:b/>
        </w:rPr>
        <w:t>provision families</w:t>
      </w:r>
      <w:r>
        <w:t>, so one repeated clause cannot dominate the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Corpus construction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t>Documents parsed</w:t>
            </w:r>
          </w:p>
        </w:tc>
        <w:tc>
          <w:tcPr>
            <w:tcW w:type="dxa" w:w="4320"/>
          </w:tcPr>
          <w:p>
            <w:r/>
            <w:r>
              <w:t>6,156</w:t>
            </w:r>
          </w:p>
        </w:tc>
      </w:tr>
      <w:tr>
        <w:tc>
          <w:tcPr>
            <w:tcW w:type="dxa" w:w="4320"/>
          </w:tcPr>
          <w:p>
            <w:r/>
            <w:r>
              <w:t>Documents kept as transaction-linked</w:t>
            </w:r>
          </w:p>
        </w:tc>
        <w:tc>
          <w:tcPr>
            <w:tcW w:type="dxa" w:w="4320"/>
          </w:tcPr>
          <w:p>
            <w:r/>
            <w:r>
              <w:t>2,862</w:t>
            </w:r>
          </w:p>
        </w:tc>
      </w:tr>
      <w:tr>
        <w:tc>
          <w:tcPr>
            <w:tcW w:type="dxa" w:w="4320"/>
          </w:tcPr>
          <w:p>
            <w:r/>
            <w:r>
              <w:t>Documents excluded as unrelated to the deal</w:t>
            </w:r>
          </w:p>
        </w:tc>
        <w:tc>
          <w:tcPr>
            <w:tcW w:type="dxa" w:w="4320"/>
          </w:tcPr>
          <w:p>
            <w:r/>
            <w:r>
              <w:t>3,294</w:t>
            </w:r>
          </w:p>
        </w:tc>
      </w:tr>
      <w:tr>
        <w:tc>
          <w:tcPr>
            <w:tcW w:type="dxa" w:w="4320"/>
          </w:tcPr>
          <w:p>
            <w:r/>
            <w:r>
              <w:t>Candidate passages screened</w:t>
            </w:r>
          </w:p>
        </w:tc>
        <w:tc>
          <w:tcPr>
            <w:tcW w:type="dxa" w:w="4320"/>
          </w:tcPr>
          <w:p>
            <w:r/>
            <w:r>
              <w:t>42,235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Passages included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16,079</w:t>
            </w:r>
          </w:p>
        </w:tc>
      </w:tr>
      <w:tr>
        <w:tc>
          <w:tcPr>
            <w:tcW w:type="dxa" w:w="4320"/>
          </w:tcPr>
          <w:p>
            <w:r/>
            <w:r>
              <w:t>Passages excluded</w:t>
            </w:r>
          </w:p>
        </w:tc>
        <w:tc>
          <w:tcPr>
            <w:tcW w:type="dxa" w:w="4320"/>
          </w:tcPr>
          <w:p>
            <w:r/>
            <w:r>
              <w:t>26,156</w:t>
            </w:r>
          </w:p>
        </w:tc>
      </w:tr>
      <w:tr>
        <w:tc>
          <w:tcPr>
            <w:tcW w:type="dxa" w:w="4320"/>
          </w:tcPr>
          <w:p>
            <w:r/>
            <w:r>
              <w:t>Provision families</w:t>
            </w:r>
          </w:p>
        </w:tc>
        <w:tc>
          <w:tcPr>
            <w:tcW w:type="dxa" w:w="4320"/>
          </w:tcPr>
          <w:p>
            <w:r/>
            <w:r>
              <w:t>34,295</w:t>
            </w:r>
          </w:p>
        </w:tc>
      </w:tr>
    </w:tbl>
    <w:p/>
    <w:p>
      <w:pPr>
        <w:pStyle w:val="Heading3"/>
      </w:pPr>
      <w:r>
        <w:t>What the screen throws away,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Reason for exclusion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Passages</w:t>
            </w:r>
          </w:p>
        </w:tc>
      </w:tr>
      <w:tr>
        <w:tc>
          <w:tcPr>
            <w:tcW w:type="dxa" w:w="4320"/>
          </w:tcPr>
          <w:p>
            <w:r/>
            <w:r>
              <w:t>Mentions a generic term with no people context</w:t>
            </w:r>
          </w:p>
        </w:tc>
        <w:tc>
          <w:tcPr>
            <w:tcW w:type="dxa" w:w="4320"/>
          </w:tcPr>
          <w:p>
            <w:r/>
            <w:r>
              <w:t>8,774</w:t>
            </w:r>
          </w:p>
        </w:tc>
      </w:tr>
      <w:tr>
        <w:tc>
          <w:tcPr>
            <w:tcW w:type="dxa" w:w="4320"/>
          </w:tcPr>
          <w:p>
            <w:r/>
            <w:r>
              <w:t>Navigation or index fragment</w:t>
            </w:r>
          </w:p>
        </w:tc>
        <w:tc>
          <w:tcPr>
            <w:tcW w:type="dxa" w:w="4320"/>
          </w:tcPr>
          <w:p>
            <w:r/>
            <w:r>
              <w:t>6,855</w:t>
            </w:r>
          </w:p>
        </w:tc>
      </w:tr>
      <w:tr>
        <w:tc>
          <w:tcPr>
            <w:tcW w:type="dxa" w:w="4320"/>
          </w:tcPr>
          <w:p>
            <w:r/>
            <w:r>
              <w:t>A bare heading such as "Employees" with no content</w:t>
            </w:r>
          </w:p>
        </w:tc>
        <w:tc>
          <w:tcPr>
            <w:tcW w:type="dxa" w:w="4320"/>
          </w:tcPr>
          <w:p>
            <w:r/>
            <w:r>
              <w:t>4,386</w:t>
            </w:r>
          </w:p>
        </w:tc>
      </w:tr>
      <w:tr>
        <w:tc>
          <w:tcPr>
            <w:tcW w:type="dxa" w:w="4320"/>
          </w:tcPr>
          <w:p>
            <w:r/>
            <w:r>
              <w:t>Accounting or financial context</w:t>
            </w:r>
          </w:p>
        </w:tc>
        <w:tc>
          <w:tcPr>
            <w:tcW w:type="dxa" w:w="4320"/>
          </w:tcPr>
          <w:p>
            <w:r/>
            <w:r>
              <w:t>2,466</w:t>
            </w:r>
          </w:p>
        </w:tc>
      </w:tr>
      <w:tr>
        <w:tc>
          <w:tcPr>
            <w:tcW w:type="dxa" w:w="4320"/>
          </w:tcPr>
          <w:p>
            <w:r/>
            <w:r>
              <w:t>Generic definition of "Representative"</w:t>
            </w:r>
          </w:p>
        </w:tc>
        <w:tc>
          <w:tcPr>
            <w:tcW w:type="dxa" w:w="4320"/>
          </w:tcPr>
          <w:p>
            <w:r/>
            <w:r>
              <w:t>898</w:t>
            </w:r>
          </w:p>
        </w:tc>
      </w:tr>
      <w:tr>
        <w:tc>
          <w:tcPr>
            <w:tcW w:type="dxa" w:w="4320"/>
          </w:tcPr>
          <w:p>
            <w:r/>
            <w:r>
              <w:t>Privacy or intellectual-property context, not employees</w:t>
            </w:r>
          </w:p>
        </w:tc>
        <w:tc>
          <w:tcPr>
            <w:tcW w:type="dxa" w:w="4320"/>
          </w:tcPr>
          <w:p>
            <w:r/>
            <w:r>
              <w:t>865</w:t>
            </w:r>
          </w:p>
        </w:tc>
      </w:tr>
    </w:tbl>
    <w:p/>
    <w:p>
      <w:pPr>
        <w:pStyle w:val="ListBullet"/>
      </w:pPr>
      <w:r>
        <w:t>The screen rejects more than it keeps, deliberately. A table of contents listing the word "Employees" is not evidence about employees.</w:t>
      </w:r>
    </w:p>
    <w:p>
      <w:pPr>
        <w:pStyle w:val="Heading3"/>
      </w:pPr>
      <w:r>
        <w:t>Where the surviving text comes from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Filing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Passages</w:t>
            </w:r>
          </w:p>
        </w:tc>
      </w:tr>
      <w:tr>
        <w:tc>
          <w:tcPr>
            <w:tcW w:type="dxa" w:w="4320"/>
          </w:tcPr>
          <w:p>
            <w:r/>
            <w:r>
              <w:t>EX-2.1 (the merger or purchase agreement)</w:t>
            </w:r>
          </w:p>
        </w:tc>
        <w:tc>
          <w:tcPr>
            <w:tcW w:type="dxa" w:w="4320"/>
          </w:tcPr>
          <w:p>
            <w:r/>
            <w:r>
              <w:t>4,821</w:t>
            </w:r>
          </w:p>
        </w:tc>
      </w:tr>
      <w:tr>
        <w:tc>
          <w:tcPr>
            <w:tcW w:type="dxa" w:w="4320"/>
          </w:tcPr>
          <w:p>
            <w:r/>
            <w:r>
              <w:t>424B3 (prospectus)</w:t>
            </w:r>
          </w:p>
        </w:tc>
        <w:tc>
          <w:tcPr>
            <w:tcW w:type="dxa" w:w="4320"/>
          </w:tcPr>
          <w:p>
            <w:r/>
            <w:r>
              <w:t>3,475</w:t>
            </w:r>
          </w:p>
        </w:tc>
      </w:tr>
      <w:tr>
        <w:tc>
          <w:tcPr>
            <w:tcW w:type="dxa" w:w="4320"/>
          </w:tcPr>
          <w:p>
            <w:r/>
            <w:r>
              <w:t>EX-10.1 (compensation exhibits)</w:t>
            </w:r>
          </w:p>
        </w:tc>
        <w:tc>
          <w:tcPr>
            <w:tcW w:type="dxa" w:w="4320"/>
          </w:tcPr>
          <w:p>
            <w:r/>
            <w:r>
              <w:t>1,944</w:t>
            </w:r>
          </w:p>
        </w:tc>
      </w:tr>
      <w:tr>
        <w:tc>
          <w:tcPr>
            <w:tcW w:type="dxa" w:w="4320"/>
          </w:tcPr>
          <w:p>
            <w:r/>
            <w:r>
              <w:t>S-4 and S-4/A (registration statements)</w:t>
            </w:r>
          </w:p>
        </w:tc>
        <w:tc>
          <w:tcPr>
            <w:tcW w:type="dxa" w:w="4320"/>
          </w:tcPr>
          <w:p>
            <w:r/>
            <w:r>
              <w:t>2,646</w:t>
            </w:r>
          </w:p>
        </w:tc>
      </w:tr>
      <w:tr>
        <w:tc>
          <w:tcPr>
            <w:tcW w:type="dxa" w:w="4320"/>
          </w:tcPr>
          <w:p>
            <w:r/>
            <w:r>
              <w:t>EX-99.1 (press releases)</w:t>
            </w:r>
          </w:p>
        </w:tc>
        <w:tc>
          <w:tcPr>
            <w:tcW w:type="dxa" w:w="4320"/>
          </w:tcPr>
          <w:p>
            <w:r/>
            <w:r>
              <w:t>678</w:t>
            </w:r>
          </w:p>
        </w:tc>
      </w:tr>
    </w:tbl>
    <w:p/>
    <w:p>
      <w:pPr>
        <w:pStyle w:val="Heading2"/>
      </w:pPr>
      <w:r>
        <w:t>3.6 Stage 5 — Freeze the sample with a yield gate</w:t>
      </w:r>
    </w:p>
    <w:p>
      <w:pPr>
        <w:pStyle w:val="ListBullet"/>
      </w:pPr>
      <w:r>
        <w:t xml:space="preserve">A deal enters the model only with </w:t>
      </w:r>
      <w:r>
        <w:rPr>
          <w:b/>
        </w:rPr>
        <w:t>at least 10 passages from at least 2 separate documents.</w:t>
      </w:r>
    </w:p>
    <w:p>
      <w:pPr>
        <w:pStyle w:val="ListBullet"/>
      </w:pPr>
      <w:r>
        <w:t>The threshold was set before the results were seen. Its purpose is to stop a deal contributing a single repeated clause.</w:t>
      </w:r>
    </w:p>
    <w:p>
      <w:pPr>
        <w:pStyle w:val="ListBullet"/>
      </w:pPr>
      <w:r>
        <w:t xml:space="preserve">Deals that fail are </w:t>
      </w:r>
      <w:r>
        <w:rPr>
          <w:b/>
        </w:rPr>
        <w:t>kept in the record</w:t>
      </w:r>
      <w:r>
        <w:t>, not deleted.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Outcome for the 400 retrieved deals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 the gate — the study sample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133</w:t>
            </w:r>
          </w:p>
        </w:tc>
      </w:tr>
      <w:tr>
        <w:tc>
          <w:tcPr>
            <w:tcW w:type="dxa" w:w="4320"/>
          </w:tcPr>
          <w:p>
            <w:r/>
            <w:r>
              <w:t>Below the gate</w:t>
            </w:r>
          </w:p>
        </w:tc>
        <w:tc>
          <w:tcPr>
            <w:tcW w:type="dxa" w:w="4320"/>
          </w:tcPr>
          <w:p>
            <w:r/>
            <w:r>
              <w:t>102</w:t>
            </w:r>
          </w:p>
        </w:tc>
      </w:tr>
      <w:tr>
        <w:tc>
          <w:tcPr>
            <w:tcW w:type="dxa" w:w="4320"/>
          </w:tcPr>
          <w:p>
            <w:r/>
            <w:r>
              <w:t>Retrieved, but zero employee passages</w:t>
            </w:r>
          </w:p>
        </w:tc>
        <w:tc>
          <w:tcPr>
            <w:tcW w:type="dxa" w:w="4320"/>
          </w:tcPr>
          <w:p>
            <w:r/>
            <w:r>
              <w:t>165</w:t>
            </w:r>
          </w:p>
        </w:tc>
      </w:tr>
    </w:tbl>
    <w:p/>
    <w:p>
      <w:pPr>
        <w:pStyle w:val="ListBullet"/>
      </w:pPr>
      <w:r>
        <w:rPr>
          <w:b/>
        </w:rPr>
        <w:t>A zero-passage deal is a fact about disclosure practice, not about the company.</w:t>
      </w:r>
      <w:r>
        <w:t xml:space="preserve"> It does not mean the transaction had no employee arrangements. It means the public filings do not discuss them.</w:t>
      </w:r>
    </w:p>
    <w:p>
      <w:pPr>
        <w:pStyle w:val="Heading2"/>
      </w:pPr>
      <w:r>
        <w:t>3.7 Stage 6 — The unsupervised model</w:t>
      </w:r>
    </w:p>
    <w:p>
      <w:pPr>
        <w:jc w:val="left"/>
      </w:pPr>
      <w:r>
        <w:t>The design question was: *what recurring themes exist in this text, without telling the model what to look for?*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t>Features</w:t>
            </w:r>
          </w:p>
        </w:tc>
        <w:tc>
          <w:tcPr>
            <w:tcW w:type="dxa" w:w="2880"/>
          </w:tcPr>
          <w:p>
            <w:r/>
            <w:r>
              <w:t>Word and two-word phrase frequencies, weighted by rarity</w:t>
            </w:r>
          </w:p>
        </w:tc>
        <w:tc>
          <w:tcPr>
            <w:tcW w:type="dxa" w:w="2880"/>
          </w:tcPr>
          <w:p>
            <w:r/>
            <w:r>
              <w:t>Standard, interpretable, no black box</w:t>
            </w:r>
          </w:p>
        </w:tc>
      </w:tr>
      <w:tr>
        <w:tc>
          <w:tcPr>
            <w:tcW w:type="dxa" w:w="2880"/>
          </w:tcPr>
          <w:p>
            <w:r/>
            <w:r>
              <w:t>Method</w:t>
            </w:r>
          </w:p>
        </w:tc>
        <w:tc>
          <w:tcPr>
            <w:tcW w:type="dxa" w:w="2880"/>
          </w:tcPr>
          <w:p>
            <w:r/>
            <w:r>
              <w:t>Non-negative matrix factorisation</w:t>
            </w:r>
          </w:p>
        </w:tc>
        <w:tc>
          <w:tcPr>
            <w:tcW w:type="dxa" w:w="2880"/>
          </w:tcPr>
          <w:p>
            <w:r/>
            <w:r>
              <w:t>Produces additive, readable components</w:t>
            </w:r>
          </w:p>
        </w:tc>
      </w:tr>
      <w:tr>
        <w:tc>
          <w:tcPr>
            <w:tcW w:type="dxa" w:w="2880"/>
          </w:tcPr>
          <w:p>
            <w:r/>
            <w:r>
              <w:t>Number of themes tested</w:t>
            </w:r>
          </w:p>
        </w:tc>
        <w:tc>
          <w:tcPr>
            <w:tcW w:type="dxa" w:w="2880"/>
          </w:tcPr>
          <w:p>
            <w:r/>
            <w:r>
              <w:t>3 to 7</w:t>
            </w:r>
          </w:p>
        </w:tc>
        <w:tc>
          <w:tcPr>
            <w:tcW w:type="dxa" w:w="2880"/>
          </w:tcPr>
          <w:p>
            <w:r/>
            <w:r>
              <w:t>The stability tests choose, not the author</w:t>
            </w:r>
          </w:p>
        </w:tc>
      </w:tr>
      <w:tr>
        <w:tc>
          <w:tcPr>
            <w:tcW w:type="dxa" w:w="2880"/>
          </w:tcPr>
          <w:p>
            <w:r/>
            <w:r>
              <w:t>Random seed</w:t>
            </w:r>
          </w:p>
        </w:tc>
        <w:tc>
          <w:tcPr>
            <w:tcW w:type="dxa" w:w="2880"/>
          </w:tcPr>
          <w:p>
            <w:r/>
            <w:r>
              <w:t>20260823</w:t>
            </w:r>
          </w:p>
        </w:tc>
        <w:tc>
          <w:tcPr>
            <w:tcW w:type="dxa" w:w="2880"/>
          </w:tcPr>
          <w:p>
            <w:r/>
            <w:r>
              <w:t>Fixed, so the run is reproducible</w:t>
            </w:r>
          </w:p>
        </w:tc>
      </w:tr>
      <w:tr>
        <w:tc>
          <w:tcPr>
            <w:tcW w:type="dxa" w:w="2880"/>
          </w:tcPr>
          <w:p>
            <w:r/>
            <w:r>
              <w:t>Fit sample size</w:t>
            </w:r>
          </w:p>
        </w:tc>
        <w:tc>
          <w:tcPr>
            <w:tcW w:type="dxa" w:w="2880"/>
          </w:tcPr>
          <w:p>
            <w:r/>
            <w:r>
              <w:t>1,500 passages</w:t>
            </w:r>
          </w:p>
        </w:tc>
        <w:tc>
          <w:tcPr>
            <w:tcW w:type="dxa" w:w="2880"/>
          </w:tcPr>
          <w:p>
            <w:r/>
            <w:r>
              <w:t>About 11 per deal at this sample size</w:t>
            </w:r>
          </w:p>
        </w:tc>
      </w:tr>
      <w:tr>
        <w:tc>
          <w:tcPr>
            <w:tcW w:type="dxa" w:w="2880"/>
          </w:tcPr>
          <w:p>
            <w:r/>
            <w:r>
              <w:t>Balancing</w:t>
            </w:r>
          </w:p>
        </w:tc>
        <w:tc>
          <w:tcPr>
            <w:tcW w:type="dxa" w:w="2880"/>
          </w:tcPr>
          <w:p>
            <w:r/>
            <w:r>
              <w:t>By source-document family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Prespecified before the run</w:t>
            </w:r>
          </w:p>
        </w:tc>
      </w:tr>
    </w:tbl>
    <w:p/>
    <w:p>
      <w:pPr>
        <w:pStyle w:val="ListBullet"/>
      </w:pPr>
      <w:r>
        <w:t xml:space="preserve">The model is given </w:t>
      </w:r>
      <w:r>
        <w:rPr>
          <w:b/>
        </w:rPr>
        <w:t>no category names</w:t>
      </w:r>
      <w:r>
        <w:t>. It is never told that "equity" or "severance" exist.</w:t>
      </w:r>
    </w:p>
    <w:p>
      <w:pPr>
        <w:pStyle w:val="ListBullet"/>
      </w:pPr>
      <w:r>
        <w:t xml:space="preserve">Theme descriptions in Section 5 were written </w:t>
      </w:r>
      <w:r>
        <w:rPr>
          <w:b/>
        </w:rPr>
        <w:t>after</w:t>
      </w:r>
      <w:r>
        <w:t xml:space="preserve"> fitting, by reading each theme's top words and highest-weighted passages. They are the author's reading, not labels the model was taught.</w:t>
      </w:r>
    </w:p>
    <w:p>
      <w:pPr>
        <w:pStyle w:val="Heading3"/>
      </w:pPr>
      <w:r>
        <w:t>On the balancing choice</w:t>
      </w:r>
    </w:p>
    <w:p>
      <w:pPr>
        <w:pStyle w:val="ListBullet"/>
      </w:pPr>
      <w:r>
        <w:t>The 10-deal pilot showed that balancing by document family scored better than balancing by deal.</w:t>
      </w:r>
    </w:p>
    <w:p>
      <w:pPr>
        <w:pStyle w:val="ListBullet"/>
      </w:pPr>
      <w:r>
        <w:t xml:space="preserve">That setting was therefore </w:t>
      </w:r>
      <w:r>
        <w:rPr>
          <w:b/>
        </w:rPr>
        <w:t>fixed in writing before this run</w:t>
      </w:r>
      <w:r>
        <w:t>, precisely so it could not be chosen after seeing which option flattered the results.</w:t>
      </w:r>
    </w:p>
    <w:p>
      <w:pPr>
        <w:pStyle w:val="ListBullet"/>
      </w:pPr>
      <w:r>
        <w:t>The other two settings were run afterwards as sensitivity checks only.</w:t>
      </w:r>
    </w:p>
    <w:p>
      <w:pPr>
        <w:pStyle w:val="Heading2"/>
      </w:pPr>
      <w:r>
        <w:t>3.8 Stage 7 — How the model is tested</w:t>
      </w:r>
    </w:p>
    <w:p>
      <w:pPr>
        <w:pStyle w:val="ListBullet"/>
      </w:pPr>
      <w:r>
        <w:rPr>
          <w:b/>
        </w:rPr>
        <w:t>Leave-one-deal-out:</w:t>
      </w:r>
      <w:r>
        <w:t xml:space="preserve"> remove each deal, refit, and check whether the theme reappears. Threshold set in advance: </w:t>
      </w:r>
      <w:r>
        <w:rPr>
          <w:b/>
        </w:rPr>
        <w:t>0.80</w:t>
      </w:r>
      <w:r>
        <w:t>.</w:t>
      </w:r>
    </w:p>
    <w:p>
      <w:pPr>
        <w:pStyle w:val="ListBullet"/>
      </w:pPr>
      <w:r>
        <w:rPr>
          <w:b/>
        </w:rPr>
        <w:t>Bootstrap:</w:t>
      </w:r>
      <w:r>
        <w:t xml:space="preserve"> 100 fixed-seed resamples.</w:t>
      </w:r>
    </w:p>
    <w:p>
      <w:pPr>
        <w:pStyle w:val="ListBullet"/>
      </w:pPr>
      <w:r>
        <w:rPr>
          <w:b/>
        </w:rPr>
        <w:t>A rival method:</w:t>
      </w:r>
      <w:r>
        <w:t xml:space="preserve"> an entirely different clustering algorithm run on the same text, compared for agreement. Threshold: </w:t>
      </w:r>
      <w:r>
        <w:rPr>
          <w:b/>
        </w:rPr>
        <w:t>0.20</w:t>
      </w:r>
      <w:r>
        <w:t>.</w:t>
      </w:r>
    </w:p>
    <w:p>
      <w:pPr>
        <w:pStyle w:val="ListBullet"/>
      </w:pPr>
      <w:r>
        <w:rPr>
          <w:b/>
        </w:rPr>
        <w:t>Sensitivity:</w:t>
      </w:r>
      <w:r>
        <w:t xml:space="preserve"> the whole model refit under all three balancing settings.</w:t>
      </w:r>
    </w:p>
    <w:p>
      <w:r>
        <w:br w:type="page"/>
      </w:r>
    </w:p>
    <w:p>
      <w:pPr>
        <w:pStyle w:val="Heading1"/>
      </w:pPr>
      <w:r>
        <w:t>4. The sample</w:t>
      </w:r>
    </w:p>
    <w:p>
      <w:pPr>
        <w:pStyle w:val="ListBullet"/>
      </w:pPr>
      <w:r>
        <w:rPr>
          <w:b/>
        </w:rPr>
        <w:t>133 completed technology acquisitions</w:t>
      </w:r>
      <w:r>
        <w:t>, announced 2020 to 2022.</w:t>
      </w:r>
    </w:p>
    <w:p>
      <w:pPr>
        <w:pStyle w:val="ListBullet"/>
      </w:pPr>
      <w:r>
        <w:rPr>
          <w:b/>
        </w:rPr>
        <w:t>13,817 employee passages.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Announced 2020 / 2021 / 2022</w:t>
            </w:r>
          </w:p>
        </w:tc>
        <w:tc>
          <w:tcPr>
            <w:tcW w:type="dxa" w:w="4320"/>
          </w:tcPr>
          <w:p>
            <w:r/>
            <w:r>
              <w:t>35 / 66 / 32</w:t>
            </w:r>
          </w:p>
        </w:tc>
      </w:tr>
      <w:tr>
        <w:tc>
          <w:tcPr>
            <w:tcW w:type="dxa" w:w="4320"/>
          </w:tcPr>
          <w:p>
            <w:r/>
            <w:r>
              <w:t>Largest single deal's share of the text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5.8%</w:t>
            </w:r>
          </w:p>
        </w:tc>
      </w:tr>
      <w:tr>
        <w:tc>
          <w:tcPr>
            <w:tcW w:type="dxa" w:w="4320"/>
          </w:tcPr>
          <w:p>
            <w:r/>
            <w:r>
              <w:t>Deal value disclosed</w:t>
            </w:r>
          </w:p>
        </w:tc>
        <w:tc>
          <w:tcPr>
            <w:tcW w:type="dxa" w:w="4320"/>
          </w:tcPr>
          <w:p>
            <w:r/>
            <w:r>
              <w:t>107 of 133</w:t>
            </w:r>
          </w:p>
        </w:tc>
      </w:tr>
      <w:tr>
        <w:tc>
          <w:tcPr>
            <w:tcW w:type="dxa" w:w="4320"/>
          </w:tcPr>
          <w:p>
            <w:r/>
            <w:r>
              <w:t>Median disclosed value</w:t>
            </w:r>
          </w:p>
        </w:tc>
        <w:tc>
          <w:tcPr>
            <w:tcW w:type="dxa" w:w="4320"/>
          </w:tcPr>
          <w:p>
            <w:r/>
            <w:r>
              <w:t>$312 million</w:t>
            </w:r>
          </w:p>
        </w:tc>
      </w:tr>
      <w:tr>
        <w:tc>
          <w:tcPr>
            <w:tcW w:type="dxa" w:w="4320"/>
          </w:tcPr>
          <w:p>
            <w:r/>
            <w:r>
              <w:t>Largest deal</w:t>
            </w:r>
          </w:p>
        </w:tc>
        <w:tc>
          <w:tcPr>
            <w:tcW w:type="dxa" w:w="4320"/>
          </w:tcPr>
          <w:p>
            <w:r/>
            <w:r>
              <w:t>$43.5 billion (S&amp;P Global / IHS Markit)</w:t>
            </w:r>
          </w:p>
        </w:tc>
      </w:tr>
      <w:tr>
        <w:tc>
          <w:tcPr>
            <w:tcW w:type="dxa" w:w="4320"/>
          </w:tcPr>
          <w:p>
            <w:r/>
            <w:r>
              <w:t>Target status: private / subsidiary / public / not stated</w:t>
            </w:r>
          </w:p>
        </w:tc>
        <w:tc>
          <w:tcPr>
            <w:tcW w:type="dxa" w:w="4320"/>
          </w:tcPr>
          <w:p>
            <w:r/>
            <w:r>
              <w:t>70 / 20 / 14 / 29</w:t>
            </w:r>
          </w:p>
        </w:tc>
      </w:tr>
      <w:tr>
        <w:tc>
          <w:tcPr>
            <w:tcW w:type="dxa" w:w="4320"/>
          </w:tcPr>
          <w:p>
            <w:r/>
            <w:r>
              <w:t>Source: agreement / proxy / press release</w:t>
            </w:r>
          </w:p>
        </w:tc>
        <w:tc>
          <w:tcPr>
            <w:tcW w:type="dxa" w:w="4320"/>
          </w:tcPr>
          <w:p>
            <w:r/>
            <w:r>
              <w:t>66 / 35 / 32</w:t>
            </w:r>
          </w:p>
        </w:tc>
      </w:tr>
    </w:tbl>
    <w:p/>
    <w:p>
      <w:pPr>
        <w:pStyle w:val="ListBullet"/>
      </w:pPr>
      <w:r>
        <w:t xml:space="preserve">The concentration figure is the important one. In the failed approach, one deal was </w:t>
      </w:r>
      <w:r>
        <w:rPr>
          <w:b/>
        </w:rPr>
        <w:t>44%</w:t>
      </w:r>
      <w:r>
        <w:t xml:space="preserve"> of the text. Here the largest is </w:t>
      </w:r>
      <w:r>
        <w:rPr>
          <w:b/>
        </w:rPr>
        <w:t>5.8%</w:t>
      </w:r>
      <w:r>
        <w:t xml:space="preserve">, so </w:t>
      </w:r>
      <w:r>
        <w:rPr>
          <w:b/>
        </w:rPr>
        <w:t>no single transaction drives the result.</w:t>
      </w:r>
    </w:p>
    <w:p>
      <w:pPr>
        <w:pStyle w:val="Heading3"/>
      </w:pPr>
      <w:r>
        <w:t>The ten largest contributors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Acquirer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Passages</w:t>
            </w:r>
          </w:p>
        </w:tc>
      </w:tr>
      <w:tr>
        <w:tc>
          <w:tcPr>
            <w:tcW w:type="dxa" w:w="2880"/>
          </w:tcPr>
          <w:p>
            <w:r/>
            <w:r>
              <w:t>FiscalNote Holdings</w:t>
            </w:r>
          </w:p>
        </w:tc>
        <w:tc>
          <w:tcPr>
            <w:tcW w:type="dxa" w:w="2880"/>
          </w:tcPr>
          <w:p>
            <w:r/>
            <w:r>
              <w:t>Aicel Technologies</w:t>
            </w:r>
          </w:p>
        </w:tc>
        <w:tc>
          <w:tcPr>
            <w:tcW w:type="dxa" w:w="2880"/>
          </w:tcPr>
          <w:p>
            <w:r/>
            <w:r>
              <w:t>797</w:t>
            </w:r>
          </w:p>
        </w:tc>
      </w:tr>
      <w:tr>
        <w:tc>
          <w:tcPr>
            <w:tcW w:type="dxa" w:w="2880"/>
          </w:tcPr>
          <w:p>
            <w:r/>
            <w:r>
              <w:t>CF Acquisition Corp VI</w:t>
            </w:r>
          </w:p>
        </w:tc>
        <w:tc>
          <w:tcPr>
            <w:tcW w:type="dxa" w:w="2880"/>
          </w:tcPr>
          <w:p>
            <w:r/>
            <w:r>
              <w:t>Rumble</w:t>
            </w:r>
          </w:p>
        </w:tc>
        <w:tc>
          <w:tcPr>
            <w:tcW w:type="dxa" w:w="2880"/>
          </w:tcPr>
          <w:p>
            <w:r/>
            <w:r>
              <w:t>708</w:t>
            </w:r>
          </w:p>
        </w:tc>
      </w:tr>
      <w:tr>
        <w:tc>
          <w:tcPr>
            <w:tcW w:type="dxa" w:w="2880"/>
          </w:tcPr>
          <w:p>
            <w:r/>
            <w:r>
              <w:t>ADTRAN</w:t>
            </w:r>
          </w:p>
        </w:tc>
        <w:tc>
          <w:tcPr>
            <w:tcW w:type="dxa" w:w="2880"/>
          </w:tcPr>
          <w:p>
            <w:r/>
            <w:r>
              <w:t>ADVA Optical Networking</w:t>
            </w:r>
          </w:p>
        </w:tc>
        <w:tc>
          <w:tcPr>
            <w:tcW w:type="dxa" w:w="2880"/>
          </w:tcPr>
          <w:p>
            <w:r/>
            <w:r>
              <w:t>534</w:t>
            </w:r>
          </w:p>
        </w:tc>
      </w:tr>
      <w:tr>
        <w:tc>
          <w:tcPr>
            <w:tcW w:type="dxa" w:w="2880"/>
          </w:tcPr>
          <w:p>
            <w:r/>
            <w:r>
              <w:t>System1</w:t>
            </w:r>
          </w:p>
        </w:tc>
        <w:tc>
          <w:tcPr>
            <w:tcW w:type="dxa" w:w="2880"/>
          </w:tcPr>
          <w:p>
            <w:r/>
            <w:r>
              <w:t>Protected.Net Group</w:t>
            </w:r>
          </w:p>
        </w:tc>
        <w:tc>
          <w:tcPr>
            <w:tcW w:type="dxa" w:w="2880"/>
          </w:tcPr>
          <w:p>
            <w:r/>
            <w:r>
              <w:t>492</w:t>
            </w:r>
          </w:p>
        </w:tc>
      </w:tr>
      <w:tr>
        <w:tc>
          <w:tcPr>
            <w:tcW w:type="dxa" w:w="2880"/>
          </w:tcPr>
          <w:p>
            <w:r/>
            <w:r>
              <w:t>Ginkgo Bioworks</w:t>
            </w:r>
          </w:p>
        </w:tc>
        <w:tc>
          <w:tcPr>
            <w:tcW w:type="dxa" w:w="2880"/>
          </w:tcPr>
          <w:p>
            <w:r/>
            <w:r>
              <w:t>Baktus (epidemiological unit)</w:t>
            </w:r>
          </w:p>
        </w:tc>
        <w:tc>
          <w:tcPr>
            <w:tcW w:type="dxa" w:w="2880"/>
          </w:tcPr>
          <w:p>
            <w:r/>
            <w:r>
              <w:t>476</w:t>
            </w:r>
          </w:p>
        </w:tc>
      </w:tr>
      <w:tr>
        <w:tc>
          <w:tcPr>
            <w:tcW w:type="dxa" w:w="2880"/>
          </w:tcPr>
          <w:p>
            <w:r/>
            <w:r>
              <w:t>Take-Two Interactive</w:t>
            </w:r>
          </w:p>
        </w:tc>
        <w:tc>
          <w:tcPr>
            <w:tcW w:type="dxa" w:w="2880"/>
          </w:tcPr>
          <w:p>
            <w:r/>
            <w:r>
              <w:t>Zynga</w:t>
            </w:r>
          </w:p>
        </w:tc>
        <w:tc>
          <w:tcPr>
            <w:tcW w:type="dxa" w:w="2880"/>
          </w:tcPr>
          <w:p>
            <w:r/>
            <w:r>
              <w:t>418</w:t>
            </w:r>
          </w:p>
        </w:tc>
      </w:tr>
      <w:tr>
        <w:tc>
          <w:tcPr>
            <w:tcW w:type="dxa" w:w="2880"/>
          </w:tcPr>
          <w:p>
            <w:r/>
            <w:r>
              <w:t>Advanced Micro Devices</w:t>
            </w:r>
          </w:p>
        </w:tc>
        <w:tc>
          <w:tcPr>
            <w:tcW w:type="dxa" w:w="2880"/>
          </w:tcPr>
          <w:p>
            <w:r/>
            <w:r>
              <w:t>Xilinx</w:t>
            </w:r>
          </w:p>
        </w:tc>
        <w:tc>
          <w:tcPr>
            <w:tcW w:type="dxa" w:w="2880"/>
          </w:tcPr>
          <w:p>
            <w:r/>
            <w:r>
              <w:t>403</w:t>
            </w:r>
          </w:p>
        </w:tc>
      </w:tr>
      <w:tr>
        <w:tc>
          <w:tcPr>
            <w:tcW w:type="dxa" w:w="2880"/>
          </w:tcPr>
          <w:p>
            <w:r/>
            <w:r>
              <w:t>Entegris</w:t>
            </w:r>
          </w:p>
        </w:tc>
        <w:tc>
          <w:tcPr>
            <w:tcW w:type="dxa" w:w="2880"/>
          </w:tcPr>
          <w:p>
            <w:r/>
            <w:r>
              <w:t>CMC Materials</w:t>
            </w:r>
          </w:p>
        </w:tc>
        <w:tc>
          <w:tcPr>
            <w:tcW w:type="dxa" w:w="2880"/>
          </w:tcPr>
          <w:p>
            <w:r/>
            <w:r>
              <w:t>314</w:t>
            </w:r>
          </w:p>
        </w:tc>
      </w:tr>
      <w:tr>
        <w:tc>
          <w:tcPr>
            <w:tcW w:type="dxa" w:w="2880"/>
          </w:tcPr>
          <w:p>
            <w:r/>
            <w:r>
              <w:t>Advent Technologies</w:t>
            </w:r>
          </w:p>
        </w:tc>
        <w:tc>
          <w:tcPr>
            <w:tcW w:type="dxa" w:w="2880"/>
          </w:tcPr>
          <w:p>
            <w:r/>
            <w:r>
              <w:t>UltraCell</w:t>
            </w:r>
          </w:p>
        </w:tc>
        <w:tc>
          <w:tcPr>
            <w:tcW w:type="dxa" w:w="2880"/>
          </w:tcPr>
          <w:p>
            <w:r/>
            <w:r>
              <w:t>308</w:t>
            </w:r>
          </w:p>
        </w:tc>
      </w:tr>
      <w:tr>
        <w:tc>
          <w:tcPr>
            <w:tcW w:type="dxa" w:w="2880"/>
          </w:tcPr>
          <w:p>
            <w:r/>
            <w:r>
              <w:t>Teledyne Technologies</w:t>
            </w:r>
          </w:p>
        </w:tc>
        <w:tc>
          <w:tcPr>
            <w:tcW w:type="dxa" w:w="2880"/>
          </w:tcPr>
          <w:p>
            <w:r/>
            <w:r>
              <w:t>FLIR Systems</w:t>
            </w:r>
          </w:p>
        </w:tc>
        <w:tc>
          <w:tcPr>
            <w:tcW w:type="dxa" w:w="2880"/>
          </w:tcPr>
          <w:p>
            <w:r/>
            <w:r>
              <w:t>287</w:t>
            </w:r>
          </w:p>
        </w:tc>
      </w:tr>
    </w:tbl>
    <w:p/>
    <w:p>
      <w:r>
        <w:br w:type="page"/>
      </w:r>
    </w:p>
    <w:p>
      <w:pPr>
        <w:pStyle w:val="Heading1"/>
      </w:pPr>
      <w:r>
        <w:t>5. Results</w:t>
      </w:r>
    </w:p>
    <w:p>
      <w:pPr>
        <w:jc w:val="left"/>
      </w:pPr>
      <w:r>
        <w:t xml:space="preserve">The model selected </w:t>
      </w:r>
      <w:r>
        <w:rPr>
          <w:b/>
        </w:rPr>
        <w:t>three themes</w:t>
      </w:r>
      <w:r>
        <w:t>. Each is described below with the words that define it, how much text it accounts for, and how well it survived testing.</w:t>
      </w:r>
    </w:p>
    <w:p>
      <w:pPr>
        <w:pStyle w:val="Heading2"/>
      </w:pPr>
      <w:r>
        <w:t>5.1 Theme 1 — Executive and officer language</w:t>
      </w:r>
    </w:p>
    <w:p>
      <w:pPr>
        <w:pStyle w:val="ListBullet"/>
      </w:pPr>
      <w:r>
        <w:rPr>
          <w:b/>
        </w:rPr>
        <w:t>Defining words:</w:t>
      </w:r>
      <w:r>
        <w:t xml:space="preserve"> executive, officer, chief, employment, executive officer, chief executive, directors, employees, board, officers</w:t>
      </w:r>
    </w:p>
    <w:p>
      <w:pPr>
        <w:pStyle w:val="ListBullet"/>
      </w:pPr>
      <w:r>
        <w:rPr>
          <w:b/>
        </w:rPr>
        <w:t>Passages: 5,741.</w:t>
      </w:r>
      <w:r>
        <w:t xml:space="preserve"> Provision families: 4,947. Present in all 133 deals. Mean share of a deal's text: 35.5%.</w:t>
      </w:r>
    </w:p>
    <w:p>
      <w:pPr>
        <w:pStyle w:val="ListBullet"/>
      </w:pPr>
      <w:r>
        <w:rPr>
          <w:b/>
        </w:rPr>
        <w:t>Coherence: 0.258.</w:t>
      </w:r>
      <w:r>
        <w:t xml:space="preserve"> </w:t>
      </w:r>
      <w:r>
        <w:rPr>
          <w:b/>
        </w:rPr>
        <w:t>Leave-one-deal-out recovery: 0.864.</w:t>
      </w:r>
    </w:p>
    <w:p>
      <w:pPr>
        <w:jc w:val="left"/>
      </w:pPr>
      <w:r>
        <w:rPr>
          <w:b/>
        </w:rPr>
        <w:t>Reading (provisional).</w:t>
      </w:r>
      <w:r>
        <w:t xml:space="preserve"> References to executives, officers, directors and the board. This theme </w:t>
      </w:r>
      <w:r>
        <w:rPr>
          <w:b/>
        </w:rPr>
        <w:t>mixes two different things</w:t>
      </w:r>
      <w:r>
        <w:t>: contractual executive-employment and change-in-control terms, and the officer or director language that appears in proxies and announcement press releases, including quoted remarks by a chief executive. Its coherence is the lowest of the three, which is what a mixed component looks like. It should not be read as a single kind of employee provision.</w:t>
      </w:r>
    </w:p>
    <w:p>
      <w:pPr>
        <w:pStyle w:val="Heading2"/>
      </w:pPr>
      <w:r>
        <w:t>5.2 Theme 2 — Benefit plans and retirement law</w:t>
      </w:r>
    </w:p>
    <w:p>
      <w:pPr>
        <w:pStyle w:val="ListBullet"/>
      </w:pPr>
      <w:r>
        <w:rPr>
          <w:b/>
        </w:rPr>
        <w:t>Defining words:</w:t>
      </w:r>
      <w:r>
        <w:t xml:space="preserve"> plan, benefit, ERISA, employee, benefit plan, code, pension, employee benefit, plans, benefit plans</w:t>
      </w:r>
    </w:p>
    <w:p>
      <w:pPr>
        <w:pStyle w:val="ListBullet"/>
      </w:pPr>
      <w:r>
        <w:rPr>
          <w:b/>
        </w:rPr>
        <w:t>Passages: 5,762.</w:t>
      </w:r>
      <w:r>
        <w:t xml:space="preserve"> Provision families: 5,016. Mean share of a deal's text: 42.7%.</w:t>
      </w:r>
    </w:p>
    <w:p>
      <w:pPr>
        <w:pStyle w:val="ListBullet"/>
      </w:pPr>
      <w:r>
        <w:rPr>
          <w:b/>
        </w:rPr>
        <w:t>Coherence: 0.351.</w:t>
      </w:r>
      <w:r>
        <w:t xml:space="preserve"> </w:t>
      </w:r>
      <w:r>
        <w:rPr>
          <w:b/>
        </w:rPr>
        <w:t>Leave-one-deal-out recovery: 0.889.</w:t>
      </w:r>
    </w:p>
    <w:p>
      <w:pPr>
        <w:jc w:val="left"/>
      </w:pPr>
      <w:r>
        <w:rPr>
          <w:b/>
        </w:rPr>
        <w:t>Reading (provisional).</w:t>
      </w:r>
      <w:r>
        <w:t xml:space="preserve"> Definitions and covenants about employee benefit plans: plan schedules, retirement-law representations, pension and welfare arrangements, and undertakings about what benefits continue after closing. This is the most self-consistent contractual theme, and the largest by share of the average deal's text.</w:t>
      </w:r>
    </w:p>
    <w:p>
      <w:pPr>
        <w:pStyle w:val="Heading2"/>
      </w:pPr>
      <w:r>
        <w:t>5.3 Theme 3 — Equity awards at the closing moment</w:t>
      </w:r>
    </w:p>
    <w:p>
      <w:pPr>
        <w:pStyle w:val="ListBullet"/>
      </w:pPr>
      <w:r>
        <w:rPr>
          <w:b/>
        </w:rPr>
        <w:t>Defining words:</w:t>
      </w:r>
      <w:r>
        <w:t xml:space="preserve"> stock, shares, common, common stock, restricted, restricted stock, units, options, merger, outstanding</w:t>
      </w:r>
    </w:p>
    <w:p>
      <w:pPr>
        <w:pStyle w:val="ListBullet"/>
      </w:pPr>
      <w:r>
        <w:rPr>
          <w:b/>
        </w:rPr>
        <w:t>Passages: 4,576.</w:t>
      </w:r>
      <w:r>
        <w:t xml:space="preserve"> Provision families: 3,725. Mean share of a deal's text: 21.9%.</w:t>
      </w:r>
    </w:p>
    <w:p>
      <w:pPr>
        <w:pStyle w:val="ListBullet"/>
      </w:pPr>
      <w:r>
        <w:rPr>
          <w:b/>
        </w:rPr>
        <w:t>Coherence: 0.432.</w:t>
      </w:r>
      <w:r>
        <w:t xml:space="preserve"> </w:t>
      </w:r>
      <w:r>
        <w:rPr>
          <w:b/>
        </w:rPr>
        <w:t>Leave-one-deal-out recovery: 0.983.</w:t>
      </w:r>
    </w:p>
    <w:p>
      <w:pPr>
        <w:jc w:val="left"/>
      </w:pPr>
      <w:r>
        <w:rPr>
          <w:b/>
        </w:rPr>
        <w:t>Reading (provisional).</w:t>
      </w:r>
      <w:r>
        <w:t xml:space="preserve"> What happens to employees' stock, options, restricted stock and restricted stock units at the moment the transaction closes: conversion, assumption, vesting treatment, and cash-out of outstanding awards. It is the most internally coherent and the most stable theme of the three.</w:t>
      </w:r>
    </w:p>
    <w:p>
      <w:pPr>
        <w:pStyle w:val="Heading2"/>
      </w:pPr>
      <w:r>
        <w:t>5.4 How well the themes held 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Passages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Coherence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Leave-one-deal-out recovery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Passes the 0.80 bar?</w:t>
            </w:r>
          </w:p>
        </w:tc>
      </w:tr>
      <w:tr>
        <w:tc>
          <w:tcPr>
            <w:tcW w:type="dxa" w:w="1728"/>
          </w:tcPr>
          <w:p>
            <w:r/>
            <w:r>
              <w:t>Executive and officer language</w:t>
            </w:r>
          </w:p>
        </w:tc>
        <w:tc>
          <w:tcPr>
            <w:tcW w:type="dxa" w:w="1728"/>
          </w:tcPr>
          <w:p>
            <w:r/>
            <w:r>
              <w:t>5,741</w:t>
            </w:r>
          </w:p>
        </w:tc>
        <w:tc>
          <w:tcPr>
            <w:tcW w:type="dxa" w:w="1728"/>
          </w:tcPr>
          <w:p>
            <w:r/>
            <w:r>
              <w:t>0.258</w:t>
            </w:r>
          </w:p>
        </w:tc>
        <w:tc>
          <w:tcPr>
            <w:tcW w:type="dxa" w:w="1728"/>
          </w:tcPr>
          <w:p>
            <w:r/>
            <w:r>
              <w:t>0.864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Benefit plans and retirement law</w:t>
            </w:r>
          </w:p>
        </w:tc>
        <w:tc>
          <w:tcPr>
            <w:tcW w:type="dxa" w:w="1728"/>
          </w:tcPr>
          <w:p>
            <w:r/>
            <w:r>
              <w:t>5,762</w:t>
            </w:r>
          </w:p>
        </w:tc>
        <w:tc>
          <w:tcPr>
            <w:tcW w:type="dxa" w:w="1728"/>
          </w:tcPr>
          <w:p>
            <w:r/>
            <w:r>
              <w:t>0.351</w:t>
            </w:r>
          </w:p>
        </w:tc>
        <w:tc>
          <w:tcPr>
            <w:tcW w:type="dxa" w:w="1728"/>
          </w:tcPr>
          <w:p>
            <w:r/>
            <w:r>
              <w:t>0.889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Equity awards at closing</w:t>
            </w:r>
          </w:p>
        </w:tc>
        <w:tc>
          <w:tcPr>
            <w:tcW w:type="dxa" w:w="1728"/>
          </w:tcPr>
          <w:p>
            <w:r/>
            <w:r>
              <w:t>4,576</w:t>
            </w:r>
          </w:p>
        </w:tc>
        <w:tc>
          <w:tcPr>
            <w:tcW w:type="dxa" w:w="1728"/>
          </w:tcPr>
          <w:p>
            <w:r/>
            <w:r>
              <w:t>0.432</w:t>
            </w:r>
          </w:p>
        </w:tc>
        <w:tc>
          <w:tcPr>
            <w:tcW w:type="dxa" w:w="1728"/>
          </w:tcPr>
          <w:p>
            <w:r/>
            <w:r>
              <w:t>0.983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</w:tbl>
    <w:p/>
    <w:p>
      <w:pPr>
        <w:pStyle w:val="ListBullet"/>
      </w:pPr>
      <w:r>
        <w:rPr>
          <w:b/>
        </w:rPr>
        <w:t>71 automated checks passed. 0 failed. 1 warning.</w:t>
      </w:r>
    </w:p>
    <w:p>
      <w:pPr>
        <w:pStyle w:val="Heading3"/>
      </w:pPr>
      <w:r>
        <w:t>The comparison that matters most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Overall recovery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t>The 10-deal pilot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0.630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</w:t>
            </w:r>
            <w:r>
              <w:t xml:space="preserve"> the 0.80 bar</w:t>
            </w:r>
          </w:p>
        </w:tc>
      </w:tr>
      <w:tr>
        <w:tc>
          <w:tcPr>
            <w:tcW w:type="dxa" w:w="2160"/>
          </w:tcPr>
          <w:p>
            <w:r/>
            <w:r>
              <w:t>This study</w:t>
            </w:r>
          </w:p>
        </w:tc>
        <w:tc>
          <w:tcPr>
            <w:tcW w:type="dxa" w:w="2160"/>
          </w:tcPr>
          <w:p>
            <w:r/>
            <w:r>
              <w:t>133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0.864–0.983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Passed</w:t>
            </w:r>
            <w:r>
              <w:t xml:space="preserve"> on every theme</w:t>
            </w:r>
          </w:p>
        </w:tc>
      </w:tr>
    </w:tbl>
    <w:p/>
    <w:p>
      <w:pPr>
        <w:pStyle w:val="ListBullet"/>
      </w:pPr>
      <w:r>
        <w:t xml:space="preserve">Same method, same thresholds, more deals. </w:t>
      </w:r>
      <w:r>
        <w:rPr>
          <w:b/>
        </w:rPr>
        <w:t>The pilot's failure was a sample-size problem, not a method problem.</w:t>
      </w:r>
      <w:r>
        <w:t xml:space="preserve"> This is the single most useful methodological result of the project.</w:t>
      </w:r>
    </w:p>
    <w:p>
      <w:pPr>
        <w:pStyle w:val="Heading2"/>
      </w:pPr>
      <w:r>
        <w:t>5.5 Sensitivity: does the answer depend on how we built it?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Balancing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Themes found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Recovery per theme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Leading words</w:t>
            </w:r>
          </w:p>
        </w:tc>
      </w:tr>
      <w:tr>
        <w:tc>
          <w:tcPr>
            <w:tcW w:type="dxa" w:w="2160"/>
          </w:tcPr>
          <w:p>
            <w:r/>
            <w:r>
              <w:t>Source-family (</w:t>
            </w:r>
            <w:r>
              <w:rPr>
                <w:b/>
              </w:rPr>
              <w:t>primary, prespecified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0.86, 0.89, 0.98</w:t>
            </w:r>
          </w:p>
        </w:tc>
        <w:tc>
          <w:tcPr>
            <w:tcW w:type="dxa" w:w="2160"/>
          </w:tcPr>
          <w:p>
            <w:r/>
            <w:r>
              <w:t>executive; plan; stock</w:t>
            </w:r>
          </w:p>
        </w:tc>
      </w:tr>
      <w:tr>
        <w:tc>
          <w:tcPr>
            <w:tcW w:type="dxa" w:w="2160"/>
          </w:tcPr>
          <w:p>
            <w:r/>
            <w:r>
              <w:t>By deal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0.95, 0.95, 0.95</w:t>
            </w:r>
          </w:p>
        </w:tc>
        <w:tc>
          <w:tcPr>
            <w:tcW w:type="dxa" w:w="2160"/>
          </w:tcPr>
          <w:p>
            <w:r/>
            <w:r>
              <w:t>employment; stock; plan</w:t>
            </w:r>
          </w:p>
        </w:tc>
      </w:tr>
      <w:tr>
        <w:tc>
          <w:tcPr>
            <w:tcW w:type="dxa" w:w="2160"/>
          </w:tcPr>
          <w:p>
            <w:r/>
            <w:r>
              <w:t>Unbalanced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0.90, 0.94, 0.98</w:t>
            </w:r>
          </w:p>
        </w:tc>
        <w:tc>
          <w:tcPr>
            <w:tcW w:type="dxa" w:w="2160"/>
          </w:tcPr>
          <w:p>
            <w:r/>
            <w:r>
              <w:t>executive; plan; stock</w:t>
            </w:r>
          </w:p>
        </w:tc>
      </w:tr>
    </w:tbl>
    <w:p/>
    <w:p>
      <w:pPr>
        <w:pStyle w:val="ListBullet"/>
      </w:pPr>
      <w:r>
        <w:rPr>
          <w:b/>
        </w:rPr>
        <w:t>All three settings return the same three themes</w:t>
      </w:r>
      <w:r>
        <w:t>, in different proportions, and every component clears the 0.80 bar.</w:t>
      </w:r>
    </w:p>
    <w:p>
      <w:pPr>
        <w:pStyle w:val="ListBullet"/>
      </w:pPr>
      <w:r>
        <w:t xml:space="preserve">The themes are a property of the text, </w:t>
      </w:r>
      <w:r>
        <w:rPr>
          <w:b/>
        </w:rPr>
        <w:t>not an artefact of the analyst's configuration.</w:t>
      </w:r>
    </w:p>
    <w:p>
      <w:pPr>
        <w:pStyle w:val="Heading2"/>
      </w:pPr>
      <w:r>
        <w:t>5.6 The one warning, stated plainly</w:t>
      </w:r>
    </w:p>
    <w:p>
      <w:pPr>
        <w:pStyle w:val="ListBullet"/>
      </w:pPr>
      <w:r>
        <w:t xml:space="preserve">A </w:t>
      </w:r>
      <w:r>
        <w:rPr>
          <w:b/>
        </w:rPr>
        <w:t>completely different clustering algorithm</w:t>
      </w:r>
      <w:r>
        <w:t xml:space="preserve"> was run over the same passages and its grouping was compared with the model's.</w:t>
      </w:r>
    </w:p>
    <w:p>
      <w:pPr>
        <w:pStyle w:val="ListBullet"/>
      </w:pPr>
      <w:r>
        <w:t xml:space="preserve">Agreement score: </w:t>
      </w:r>
      <w:r>
        <w:rPr>
          <w:b/>
        </w:rPr>
        <w:t>0.034</w:t>
      </w:r>
      <w:r>
        <w:t xml:space="preserve">, against a threshold of </w:t>
      </w:r>
      <w:r>
        <w:rPr>
          <w:b/>
        </w:rPr>
        <w:t>0.20</w:t>
      </w:r>
      <w:r>
        <w:t>.</w:t>
      </w:r>
    </w:p>
    <w:p>
      <w:pPr>
        <w:pStyle w:val="ListBullet"/>
      </w:pPr>
      <w:r>
        <w:rPr>
          <w:b/>
        </w:rPr>
        <w:t>What this means:</w:t>
      </w:r>
      <w:r>
        <w:t xml:space="preserve"> the three themes are each individually stable — they reappear when any single deal is removed — but </w:t>
      </w:r>
      <w:r>
        <w:rPr>
          <w:b/>
        </w:rPr>
        <w:t>a different algorithm would divide the same text differently.</w:t>
      </w:r>
    </w:p>
    <w:p>
      <w:pPr>
        <w:pStyle w:val="ListBullet"/>
      </w:pPr>
      <w:r>
        <w:rPr>
          <w:b/>
        </w:rPr>
        <w:t>How to read the themes because of it:</w:t>
      </w:r>
      <w:r>
        <w:t xml:space="preserve"> as *recurring patterns of language*, not as *the one correct taxonomy* of employee provisions.</w:t>
      </w:r>
    </w:p>
    <w:p>
      <w:pPr>
        <w:pStyle w:val="Heading2"/>
      </w:pPr>
      <w:r>
        <w:t>5.7 The AI subgroup</w:t>
      </w:r>
    </w:p>
    <w:p>
      <w:pPr>
        <w:pStyle w:val="ListBullet"/>
      </w:pPr>
      <w:r>
        <w:t xml:space="preserve">Applied </w:t>
      </w:r>
      <w:r>
        <w:rPr>
          <w:b/>
        </w:rPr>
        <w:t>after</w:t>
      </w:r>
      <w:r>
        <w:t xml:space="preserve"> selection, to deals already known to have employee disclosure.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</w:tr>
      <w:tr>
        <w:tc>
          <w:tcPr>
            <w:tcW w:type="dxa" w:w="4320"/>
          </w:tcPr>
          <w:p>
            <w:r/>
            <w:r>
              <w:t>Filings describe the target in explicit AI terms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17</w:t>
            </w:r>
          </w:p>
        </w:tc>
      </w:tr>
      <w:tr>
        <w:tc>
          <w:tcPr>
            <w:tcW w:type="dxa" w:w="4320"/>
          </w:tcPr>
          <w:p>
            <w:r/>
            <w:r>
              <w:t>Weaker or adjacent AI language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No AI language near the target's name</w:t>
            </w:r>
          </w:p>
        </w:tc>
        <w:tc>
          <w:tcPr>
            <w:tcW w:type="dxa" w:w="4320"/>
          </w:tcPr>
          <w:p>
            <w:r/>
            <w:r>
              <w:t>116</w:t>
            </w:r>
          </w:p>
        </w:tc>
      </w:tr>
      <w:tr>
        <w:tc>
          <w:tcPr>
            <w:tcW w:type="dxa" w:w="4320"/>
          </w:tcPr>
          <w:p>
            <w:r/>
            <w:r>
              <w:t>Deals using language about a team "joining" the buyer</w:t>
            </w:r>
          </w:p>
        </w:tc>
        <w:tc>
          <w:tcPr>
            <w:tcW w:type="dxa" w:w="4320"/>
          </w:tcPr>
          <w:p>
            <w:r/>
            <w:r>
              <w:t>45</w:t>
            </w:r>
          </w:p>
        </w:tc>
      </w:tr>
      <w:tr>
        <w:tc>
          <w:tcPr>
            <w:tcW w:type="dxa" w:w="4320"/>
          </w:tcPr>
          <w:p>
            <w:r/>
            <w:r>
              <w:t>Deals with explicit acqui-hire language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</w:tbl>
    <w:p/>
    <w:p>
      <w:pPr>
        <w:pStyle w:val="ListBullet"/>
      </w:pPr>
      <w:r>
        <w:t>Named examples with the wording their own filings use: Microsoft / Nuance, Hewlett Packard Enterprise / Silver Peak, DocuSign / Seal Software ("artificial intelligence", "natural language"), Intercontinental Exchange / Ellie Mae, Progress Software / Chef, Take-Two / Zynga ("machine learning"), SentinelOne / Attivo Networks ("AI-powered").</w:t>
      </w:r>
    </w:p>
    <w:p>
      <w:pPr>
        <w:pStyle w:val="ListBullet"/>
      </w:pPr>
      <w:r>
        <w:rPr>
          <w:b/>
        </w:rPr>
        <w:t>17 of 133 is itself a result.</w:t>
      </w:r>
      <w:r>
        <w:t xml:space="preserve"> Among transactions whose employee terms are public, only a minority are described in AI language at all.</w:t>
      </w:r>
    </w:p>
    <w:p>
      <w:pPr>
        <w:pStyle w:val="ListBullet"/>
      </w:pPr>
      <w:r>
        <w:t xml:space="preserve">This is </w:t>
      </w:r>
      <w:r>
        <w:rPr>
          <w:b/>
        </w:rPr>
        <w:t>technology M&amp;A with an AI subgroup inside it</w:t>
      </w:r>
      <w:r>
        <w:t>, not an AI-deal sample. Every label is machine-derived and pending human review.</w:t>
      </w:r>
    </w:p>
    <w:p>
      <w:pPr>
        <w:pStyle w:val="Heading2"/>
      </w:pPr>
      <w:r>
        <w:t>5.8 Tone, as a secondary diagnostic only</w:t>
      </w:r>
    </w:p>
    <w:p>
      <w:pPr>
        <w:pStyle w:val="ListBullet"/>
      </w:pPr>
      <w:r>
        <w:t xml:space="preserve">Counts protective and negative wording per hundred tokens, then subtracts the average for the same filing type, so deals are compared against </w:t>
      </w:r>
      <w:r>
        <w:rPr>
          <w:b/>
        </w:rPr>
        <w:t>ordinary legal language</w:t>
      </w:r>
      <w:r>
        <w:t xml:space="preserve"> rather than against plain English.</w:t>
      </w:r>
    </w:p>
    <w:p>
      <w:pPr>
        <w:pStyle w:val="ListBullet"/>
      </w:pPr>
      <w:r>
        <w:t>Highest protective-language residuals: Opendoor / Commeasure (+5.33), Vontier / DRB Systems (+1.83), KKR / Therapy Brands (+1.57).</w:t>
      </w:r>
    </w:p>
    <w:p>
      <w:pPr>
        <w:pStyle w:val="ListBullet"/>
      </w:pPr>
      <w:r>
        <w:t xml:space="preserve">Recorded in the manifest as </w:t>
      </w:r>
      <w:r>
        <w:rPr>
          <w:rFonts w:ascii="Consolas" w:hAnsi="Consolas"/>
          <w:sz w:val="18"/>
        </w:rPr>
        <w:t>secondary_diagnostic_corpus_not_validated</w:t>
      </w:r>
      <w:r>
        <w:t>.</w:t>
      </w:r>
    </w:p>
    <w:p>
      <w:pPr>
        <w:pStyle w:val="ListBullet"/>
      </w:pPr>
      <w:r>
        <w:rPr>
          <w:b/>
        </w:rPr>
        <w:t>This measures drafting style. It is not evidence that any buyer treated people better.</w:t>
      </w:r>
    </w:p>
    <w:p>
      <w:r>
        <w:br w:type="page"/>
      </w:r>
    </w:p>
    <w:p>
      <w:pPr>
        <w:pStyle w:val="Heading1"/>
      </w:pPr>
      <w:r>
        <w:t>6. The separate deal-architecture layer</w:t>
      </w:r>
    </w:p>
    <w:p>
      <w:pPr>
        <w:pStyle w:val="ListBullet"/>
      </w:pPr>
      <w:r>
        <w:t xml:space="preserve">A second, distinct layer codes </w:t>
      </w:r>
      <w:r>
        <w:rPr>
          <w:b/>
        </w:rPr>
        <w:t>what kind of transaction</w:t>
      </w:r>
      <w:r>
        <w:t xml:space="preserve"> each of the ten original pilot deals was. This is </w:t>
      </w:r>
      <w:r>
        <w:rPr>
          <w:b/>
        </w:rPr>
        <w:t>rule-based human coding, not unsupervised learning</w:t>
      </w:r>
      <w:r>
        <w:t>, and the two are never mixed.</w:t>
      </w:r>
    </w:p>
    <w:p>
      <w:pPr>
        <w:pStyle w:val="ListBullet"/>
      </w:pPr>
      <w:r>
        <w:t>Six attributes per deal: legal form, scope and control, IP treatment, business continuity, workforce movement, and explicit talent motive.</w:t>
      </w:r>
    </w:p>
    <w:p>
      <w:pPr>
        <w:pStyle w:val="ListBullet"/>
      </w:pPr>
      <w:r>
        <w:t xml:space="preserve">A strict rule was introduced: </w:t>
      </w:r>
      <w:r>
        <w:rPr>
          <w:b/>
        </w:rPr>
        <w:t>every asserted claim must quote the SEC document word for word.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Treatment of the 70 register rows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</w:tr>
      <w:tr>
        <w:tc>
          <w:tcPr>
            <w:tcW w:type="dxa" w:w="4320"/>
          </w:tcPr>
          <w:p>
            <w:r/>
            <w:r>
              <w:t>Now quote the filing verbatim, each verified as an exact substring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Withdrawn to "unknown"</w:t>
            </w:r>
            <w:r>
              <w:t xml:space="preserve"> because no sentence in the document states it</w:t>
            </w:r>
          </w:p>
        </w:tc>
        <w:tc>
          <w:tcPr>
            <w:tcW w:type="dxa" w:w="4320"/>
          </w:tcPr>
          <w:p>
            <w:r/>
            <w:r>
              <w:t>23</w:t>
            </w:r>
          </w:p>
        </w:tc>
      </w:tr>
      <w:tr>
        <w:tc>
          <w:tcPr>
            <w:tcW w:type="dxa" w:w="4320"/>
          </w:tcPr>
          <w:p>
            <w:r/>
            <w:r>
              <w:t>Already recorded as unknown</w:t>
            </w:r>
          </w:p>
        </w:tc>
        <w:tc>
          <w:tcPr>
            <w:tcW w:type="dxa" w:w="4320"/>
          </w:tcPr>
          <w:p>
            <w:r/>
            <w:r>
              <w:t>27</w:t>
            </w:r>
          </w:p>
        </w:tc>
      </w:tr>
    </w:tbl>
    <w:p/>
    <w:p>
      <w:pPr>
        <w:pStyle w:val="ListBullet"/>
      </w:pPr>
      <w:r>
        <w:rPr>
          <w:b/>
        </w:rPr>
        <w:t>Withdrawing is the safe direction.</w:t>
      </w:r>
      <w:r>
        <w:t xml:space="preserve"> A nearby but unsupporting quote looks like evidence while proving nothing, which is worse than an honest paraphrase.</w:t>
      </w:r>
    </w:p>
    <w:p>
      <w:pPr>
        <w:pStyle w:val="ListBullet"/>
      </w:pPr>
      <w:r>
        <w:rPr>
          <w:b/>
        </w:rPr>
        <w:t>Example of a withdrawal:</w:t>
      </w:r>
      <w:r>
        <w:t xml:space="preserve"> Microsoft / Nuance's only reviewed document is a press release saying "acquisition". That cannot support a claim of *statutory merger*, so the legal form is now unknown. Its leadership-continuity claim survives, because the release states that </w:t>
      </w:r>
      <w:r>
        <w:rPr>
          <w:b/>
        </w:rPr>
        <w:t>"Mark Benjamin will remain CEO of Nuance, reporting to Scott Guthrie."</w:t>
      </w:r>
    </w:p>
    <w:p>
      <w:pPr>
        <w:pStyle w:val="ListBullet"/>
      </w:pPr>
      <w:r>
        <w:t>All nine IP-treatment rows were withdrawn; the register itself recorded that no reviewed passage addresses IP.</w:t>
      </w:r>
    </w:p>
    <w:p>
      <w:pPr>
        <w:pStyle w:val="ListBullet"/>
      </w:pPr>
      <w:r>
        <w:t xml:space="preserve">Resulting archetype suggestions: full acquisition 4, asset acquisition 1, asset acquisition with talent salience 1, unknown 5. All are </w:t>
      </w:r>
      <w:r>
        <w:rPr>
          <w:b/>
        </w:rPr>
        <w:t>machine suggestions pending human review</w:t>
      </w:r>
      <w:r>
        <w:t>, and the three human-decision columns remain blank.</w:t>
      </w:r>
    </w:p>
    <w:p>
      <w:r>
        <w:br w:type="page"/>
      </w:r>
    </w:p>
    <w:p>
      <w:pPr>
        <w:pStyle w:val="Heading1"/>
      </w:pPr>
      <w:r>
        <w:t>7. What the results mean</w:t>
      </w:r>
    </w:p>
    <w:p>
      <w:pPr>
        <w:pStyle w:val="Heading2"/>
      </w:pPr>
      <w:r>
        <w:t>7.1 The substantive reading</w:t>
      </w:r>
    </w:p>
    <w:p>
      <w:pPr>
        <w:pStyle w:val="ListBullet"/>
      </w:pPr>
      <w:r>
        <w:rPr>
          <w:b/>
        </w:rPr>
        <w:t>Employee terms in technology acquisitions cluster into a small number of recurring instruments.</w:t>
      </w:r>
      <w:r>
        <w:t xml:space="preserve"> Across 133 deals and 13,817 passages, three themes account for the text: benefit-plan continuity, equity-award treatment at closing, and executive-level employment and officer language.</w:t>
      </w:r>
    </w:p>
    <w:p>
      <w:pPr>
        <w:pStyle w:val="ListBullet"/>
      </w:pPr>
      <w:r>
        <w:rPr>
          <w:b/>
        </w:rPr>
        <w:t>Benefit continuity is the largest single category</w:t>
      </w:r>
      <w:r>
        <w:t xml:space="preserve"> by share of the average deal's text (42.7%). The most common thing a merger agreement says about ordinary employees concerns their health and retirement plans.</w:t>
      </w:r>
    </w:p>
    <w:p>
      <w:pPr>
        <w:pStyle w:val="ListBullet"/>
      </w:pPr>
      <w:r>
        <w:rPr>
          <w:b/>
        </w:rPr>
        <w:t>Equity treatment is the most standardised.</w:t>
      </w:r>
      <w:r>
        <w:t xml:space="preserve"> Its recovery of 0.983 and its high coherence say that acquirers describe option and share conversion in strikingly consistent language across very different deals.</w:t>
      </w:r>
    </w:p>
    <w:p>
      <w:pPr>
        <w:pStyle w:val="ListBullet"/>
      </w:pPr>
      <w:r>
        <w:rPr>
          <w:b/>
        </w:rPr>
        <w:t>Executive language is the least standardised.</w:t>
      </w:r>
      <w:r>
        <w:t xml:space="preserve"> It mixes contract terms with announcement rhetoric, which is a finding about *where* companies talk about people: senior individuals appear in press releases and proxies, ordinary employees appear in the agreement's covenants.</w:t>
      </w:r>
    </w:p>
    <w:p>
      <w:pPr>
        <w:pStyle w:val="ListBullet"/>
      </w:pPr>
      <w:r>
        <w:rPr>
          <w:b/>
        </w:rPr>
        <w:t>Explicit talent framing is rare in the legal record.</w:t>
      </w:r>
      <w:r>
        <w:t xml:space="preserve"> Only 3 of 133 deals use explicit acqui-hire language, and 45 use "joining" language. The talent story that dominates press coverage is largely absent from binding documents.</w:t>
      </w:r>
    </w:p>
    <w:p>
      <w:pPr>
        <w:pStyle w:val="Heading2"/>
      </w:pPr>
      <w:r>
        <w:t>7.2 The methodological reading</w:t>
      </w:r>
    </w:p>
    <w:p>
      <w:pPr>
        <w:pStyle w:val="ListBullet"/>
      </w:pPr>
      <w:r>
        <w:rPr>
          <w:b/>
        </w:rPr>
        <w:t>Selecting research samples by subject matter fails when the evidence is disclosure-dependent.</w:t>
      </w:r>
      <w:r>
        <w:t xml:space="preserve"> This is the transferable lesson. The AI-first screen was not badly implemented; it was asking for evidence that structurally does not exist.</w:t>
      </w:r>
    </w:p>
    <w:p>
      <w:pPr>
        <w:pStyle w:val="ListBullet"/>
      </w:pPr>
      <w:r>
        <w:rPr>
          <w:b/>
        </w:rPr>
        <w:t>Sample size, not method, was the binding constraint.</w:t>
      </w:r>
      <w:r>
        <w:t xml:space="preserve"> The identical pipeline scored 0.630 on 10 deals and 0.864–0.983 on 133.</w:t>
      </w:r>
    </w:p>
    <w:p>
      <w:pPr>
        <w:pStyle w:val="ListBullet"/>
      </w:pPr>
      <w:r>
        <w:rPr>
          <w:b/>
        </w:rPr>
        <w:t>Cheap existence checks before expensive retrieval change what is feasible.</w:t>
      </w:r>
      <w:r>
        <w:t xml:space="preserve"> Probing 1,060 deals took about 40 minutes and turned a blind crawl into a targeted one.</w:t>
      </w:r>
    </w:p>
    <w:p>
      <w:pPr>
        <w:pStyle w:val="Heading2"/>
      </w:pPr>
      <w:r>
        <w:t>7.3 What this does not mean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mean employees at these companies were retained, paid as promised, or satisfied.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mean a buyer with more protective language treated people better.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establish cause and effect in any direction.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describe acquisitions in general. See Section 9.</w:t>
      </w:r>
    </w:p>
    <w:p>
      <w:r>
        <w:br w:type="page"/>
      </w:r>
    </w:p>
    <w:p>
      <w:pPr>
        <w:pStyle w:val="Heading1"/>
      </w:pPr>
      <w:r>
        <w:t>8. Reproducibility</w:t>
      </w:r>
    </w:p>
    <w:p>
      <w:pPr>
        <w:pStyle w:val="ListBullet"/>
      </w:pPr>
      <w:r>
        <w:t>Every number in this report is read from a manifest or table produced by the pipeline. The report generator computes no statistics of its own, so the document cannot drift from what the code produced.</w:t>
      </w:r>
    </w:p>
    <w:p>
      <w:pPr>
        <w:pStyle w:val="ListBullet"/>
      </w:pPr>
      <w:r>
        <w:t xml:space="preserve">The result tables are published in the repository at </w:t>
      </w:r>
      <w:r>
        <w:rPr>
          <w:rFonts w:ascii="Consolas" w:hAnsi="Consolas"/>
          <w:sz w:val="18"/>
        </w:rPr>
        <w:t>data/published/disclosure_sample_133/</w:t>
      </w:r>
      <w:r>
        <w:t xml:space="preserve"> (410 KB, all 400 probed deals with the 133 modelled ones marked).</w:t>
      </w:r>
    </w:p>
    <w:p>
      <w:pPr>
        <w:pStyle w:val="ListBullet"/>
      </w:pPr>
      <w:r>
        <w:t>Excluded from publication with the reason recorded: the 117 MB passage corpus, the 35,296 retrieved documents, the HTTP cache, and the licensed vendor archive.</w:t>
      </w:r>
    </w:p>
    <w:p>
      <w:pPr>
        <w:pStyle w:val="ListBullet"/>
      </w:pPr>
      <w:r>
        <w:t xml:space="preserve">Selection rule </w:t>
      </w:r>
      <w:r>
        <w:rPr>
          <w:rFonts w:ascii="Consolas" w:hAnsi="Consolas"/>
          <w:sz w:val="18"/>
        </w:rPr>
        <w:t>disclosure-first-v1</w:t>
      </w:r>
      <w:r>
        <w:t xml:space="preserve">. Corpus hash </w:t>
      </w:r>
      <w:r>
        <w:rPr>
          <w:rFonts w:ascii="Consolas" w:hAnsi="Consolas"/>
          <w:sz w:val="18"/>
        </w:rPr>
        <w:t>97ea426f6900a345…</w:t>
      </w:r>
      <w:r>
        <w:t>.</w:t>
      </w:r>
    </w:p>
    <w:p>
      <w:pPr>
        <w:pStyle w:val="ListBullet"/>
      </w:pPr>
      <w:r>
        <w:t xml:space="preserve">Software state: </w:t>
      </w:r>
      <w:r>
        <w:rPr>
          <w:b/>
        </w:rPr>
        <w:t>269 tests passing</w:t>
      </w:r>
      <w:r>
        <w:t>, lint and type checks clean.</w:t>
      </w:r>
    </w:p>
    <w:p>
      <w:r>
        <w:rPr>
          <w:rFonts w:ascii="Consolas" w:hAnsi="Consolas"/>
          <w:sz w:val="18"/>
        </w:rPr>
        <w:t>tag-edgar screen-disclosure-pool data/derived/deal_catalog.csv</w:t>
        <w:br/>
        <w:t>tag-edgar probe-disclosure data/derived/disclosure_pool/pool.csv</w:t>
        <w:br/>
        <w:t>tag-edgar build-disclosure-queue data/derived/disclosure_probe/probe_results.csv</w:t>
        <w:br/>
        <w:t>tag-edgar run-disclosure-sample data/derived/disclosure_review_queue.csv</w:t>
        <w:br/>
        <w:t>bash scripts/run_disclosure_analysis.sh</w:t>
      </w:r>
    </w:p>
    <w:p>
      <w:r>
        <w:br w:type="page"/>
      </w:r>
    </w:p>
    <w:p>
      <w:pPr>
        <w:pStyle w:val="Heading1"/>
      </w:pPr>
      <w:r>
        <w:t>9. Limitations</w:t>
      </w:r>
    </w:p>
    <w:p>
      <w:pPr>
        <w:pStyle w:val="Heading2"/>
      </w:pPr>
      <w:r>
        <w:t>9.1 The sample is selected by disclosure</w:t>
      </w:r>
    </w:p>
    <w:p>
      <w:pPr>
        <w:pStyle w:val="ListBullet"/>
      </w:pPr>
      <w:r>
        <w:t xml:space="preserve">It describes acquisitions whose </w:t>
      </w:r>
      <w:r>
        <w:rPr>
          <w:b/>
        </w:rPr>
        <w:t>buyers file with the SEC and put the agreement on the record.</w:t>
      </w:r>
    </w:p>
    <w:p>
      <w:pPr>
        <w:pStyle w:val="ListBullet"/>
      </w:pPr>
      <w:r>
        <w:t xml:space="preserve">Deals by private, private-equity, and foreign buyers are largely absent — </w:t>
      </w:r>
      <w:r>
        <w:rPr>
          <w:b/>
        </w:rPr>
        <w:t>21,651 of 26,369</w:t>
      </w:r>
      <w:r>
        <w:t xml:space="preserve"> were removed for exactly this reason.</w:t>
      </w:r>
    </w:p>
    <w:p>
      <w:pPr>
        <w:pStyle w:val="ListBullet"/>
      </w:pPr>
      <w:r>
        <w:t xml:space="preserve">This is </w:t>
      </w:r>
      <w:r>
        <w:rPr>
          <w:b/>
        </w:rPr>
        <w:t>a property of the public record, not a sampling error that weighting can repair.</w:t>
      </w:r>
      <w:r>
        <w:t xml:space="preserve"> No amount of statistical adjustment recovers documents that were never filed.</w:t>
      </w:r>
    </w:p>
    <w:p>
      <w:pPr>
        <w:pStyle w:val="Heading2"/>
      </w:pPr>
      <w:r>
        <w:t>9.2 The corpus relevance audit was not run</w:t>
      </w:r>
    </w:p>
    <w:p>
      <w:pPr>
        <w:pStyle w:val="ListBullet"/>
      </w:pPr>
      <w:r>
        <w:t xml:space="preserve">The intended check: a person reads </w:t>
      </w:r>
      <w:r>
        <w:rPr>
          <w:b/>
        </w:rPr>
        <w:t>150 sampled passages</w:t>
      </w:r>
      <w:r>
        <w:t xml:space="preserve"> (75 kept, 75 rejected) blind, and confirms the screen kept the right ones. The bar is 90% relevance among kept passages and under 5% missed content among rejected ones.</w:t>
      </w:r>
    </w:p>
    <w:p>
      <w:pPr>
        <w:pStyle w:val="ListBullet"/>
      </w:pPr>
      <w:r>
        <w:t xml:space="preserve">It was </w:t>
      </w:r>
      <w:r>
        <w:rPr>
          <w:b/>
        </w:rPr>
        <w:t>skipped for time</w:t>
      </w:r>
      <w:r>
        <w:t xml:space="preserve"> in this cycle, by direction.</w:t>
      </w:r>
    </w:p>
    <w:p>
      <w:pPr>
        <w:pStyle w:val="ListBullet"/>
      </w:pPr>
      <w:r>
        <w:rPr>
          <w:b/>
        </w:rPr>
        <w:t>Why this matters concretely:</w:t>
      </w:r>
      <w:r>
        <w:t xml:space="preserve"> the same audit run on an earlier corpus scored </w:t>
      </w:r>
      <w:r>
        <w:rPr>
          <w:b/>
        </w:rPr>
        <w:t>72% against a 90% threshold</w:t>
      </w:r>
      <w:r>
        <w:t xml:space="preserve">, with 5.33% missed content. So the risk that a meaningful share of "employee" passages are not really about employee treatment is </w:t>
      </w:r>
      <w:r>
        <w:rPr>
          <w:b/>
        </w:rPr>
        <w:t>real and already measured</w:t>
      </w:r>
      <w:r>
        <w:t>, not hypothetical.</w:t>
      </w:r>
    </w:p>
    <w:p>
      <w:pPr>
        <w:pStyle w:val="ListBullet"/>
      </w:pPr>
      <w:r>
        <w:t xml:space="preserve">Consequence, enforced by the software: every downstream artifact is labelled provisional and the report verdict is withheld. The blinded packet is prepared and can be labelled later, upgrading the results </w:t>
      </w:r>
      <w:r>
        <w:rPr>
          <w:b/>
        </w:rPr>
        <w:t>without re-running any model</w:t>
      </w:r>
      <w:r>
        <w:t>.</w:t>
      </w:r>
    </w:p>
    <w:p>
      <w:pPr>
        <w:pStyle w:val="Heading2"/>
      </w:pPr>
      <w:r>
        <w:t>9.3 These are documents, not outcomes</w:t>
      </w:r>
    </w:p>
    <w:p>
      <w:pPr>
        <w:pStyle w:val="ListBullet"/>
      </w:pPr>
      <w:r>
        <w:t>A retention bonus is a contractual design. It is not proof anyone stayed.</w:t>
      </w:r>
    </w:p>
    <w:p>
      <w:pPr>
        <w:pStyle w:val="ListBullet"/>
      </w:pPr>
      <w:r>
        <w:t>A promise of benefit continuity is a promise, not an observation.</w:t>
      </w:r>
    </w:p>
    <w:p>
      <w:pPr>
        <w:pStyle w:val="Heading2"/>
      </w:pPr>
      <w:r>
        <w:t>9.4 The theme descriptions are provisional</w:t>
      </w:r>
    </w:p>
    <w:p>
      <w:pPr>
        <w:pStyle w:val="ListBullet"/>
      </w:pPr>
      <w:r>
        <w:t xml:space="preserve">They were written after seeing the model's output and have </w:t>
      </w:r>
      <w:r>
        <w:rPr>
          <w:b/>
        </w:rPr>
        <w:t>not</w:t>
      </w:r>
      <w:r>
        <w:t xml:space="preserve"> been scored by two independent reviewers. The blinded review packet exists and is unlabelled.</w:t>
      </w:r>
    </w:p>
    <w:p>
      <w:pPr>
        <w:pStyle w:val="Heading2"/>
      </w:pPr>
      <w:r>
        <w:t>9.5 Theme 1 is a mixed component</w:t>
      </w:r>
    </w:p>
    <w:p>
      <w:pPr>
        <w:pStyle w:val="ListBullet"/>
      </w:pPr>
      <w:r>
        <w:t>Its low coherence and its mixture of contract text with press-release quotes mean it should not be treated as a single provision type.</w:t>
      </w:r>
    </w:p>
    <w:p>
      <w:pPr>
        <w:pStyle w:val="Heading2"/>
      </w:pPr>
      <w:r>
        <w:t>9.6 Company matching is machine-confirmed</w:t>
      </w:r>
    </w:p>
    <w:p>
      <w:pPr>
        <w:pStyle w:val="ListBullet"/>
      </w:pPr>
      <w:r>
        <w:t xml:space="preserve">For 112 deals the acquirer's own filing names the target, which is strong corroboration. </w:t>
      </w:r>
      <w:r>
        <w:rPr>
          <w:b/>
        </w:rPr>
        <w:t>No person has checked each pairing.</w:t>
      </w:r>
    </w:p>
    <w:p>
      <w:pPr>
        <w:pStyle w:val="Heading2"/>
      </w:pPr>
      <w:r>
        <w:t>9.7 The architecture layer covers ten deals, not 133</w:t>
      </w:r>
    </w:p>
    <w:p>
      <w:pPr>
        <w:pStyle w:val="ListBullet"/>
      </w:pPr>
      <w:r>
        <w:t>Only the ten original pilot deals have reviewed transaction-structure evidence, and even there the human review columns are blank.</w:t>
      </w:r>
    </w:p>
    <w:p>
      <w:r>
        <w:br w:type="page"/>
      </w:r>
    </w:p>
    <w:p>
      <w:pPr>
        <w:pStyle w:val="Heading1"/>
      </w:pPr>
      <w:r>
        <w:t>10. What would strengthen this next</w:t>
      </w:r>
    </w:p>
    <w:p>
      <w:pPr>
        <w:jc w:val="left"/>
      </w:pPr>
      <w:r>
        <w:t>Ordered by value gained per hour spent.</w:t>
      </w:r>
    </w:p>
    <w:p>
      <w:pPr>
        <w:pStyle w:val="ListNumber"/>
      </w:pPr>
      <w:r>
        <w:rPr>
          <w:b/>
        </w:rPr>
        <w:t>Label the 150-row relevance packet.</w:t>
      </w:r>
      <w:r>
        <w:t xml:space="preserve"> About one hour for two people. This single act moves every result from provisional to validated, or tells us honestly that the screen needs repair.</w:t>
      </w:r>
    </w:p>
    <w:p>
      <w:pPr>
        <w:pStyle w:val="ListNumber"/>
      </w:pPr>
      <w:r>
        <w:rPr>
          <w:b/>
        </w:rPr>
        <w:t>Complete the two-reviewer theme review.</w:t>
      </w:r>
      <w:r>
        <w:t xml:space="preserve"> 30 items, roughly 20 minutes each. It converts the theme names from one person's reading into a measured agreement statistic.</w:t>
      </w:r>
    </w:p>
    <w:p>
      <w:pPr>
        <w:pStyle w:val="ListNumber"/>
      </w:pPr>
      <w:r>
        <w:rPr>
          <w:b/>
        </w:rPr>
        <w:t>Separate announcements from agreements and refit.</w:t>
      </w:r>
      <w:r>
        <w:t xml:space="preserve"> Theme 1 mixes the two. Splitting them would test whether executive language is really one theme or two.</w:t>
      </w:r>
    </w:p>
    <w:p>
      <w:pPr>
        <w:pStyle w:val="ListNumber"/>
      </w:pPr>
      <w:r>
        <w:rPr>
          <w:b/>
        </w:rPr>
        <w:t>Extend the years.</w:t>
      </w:r>
      <w:r>
        <w:t xml:space="preserve"> The database covers 1980–2022 and we used 2020–2022. Widening would enlarge the AI subgroup beyond 17 deals.</w:t>
      </w:r>
    </w:p>
    <w:p>
      <w:pPr>
        <w:pStyle w:val="ListNumber"/>
      </w:pPr>
      <w:r>
        <w:rPr>
          <w:b/>
        </w:rPr>
        <w:t>Decide whether the architecture layer scales.</w:t>
      </w:r>
      <w:r>
        <w:t xml:space="preserve"> Either extend rule-based coding to all 133 deals with machine-only fields, or keep it as a deliberate ten-deal deep dive.</w:t>
      </w:r>
    </w:p>
    <w:p>
      <w:r>
        <w:br w:type="page"/>
      </w:r>
    </w:p>
    <w:p>
      <w:pPr>
        <w:pStyle w:val="Heading1"/>
      </w:pPr>
      <w:r>
        <w:t>11. Questions for Dr. Singh</w:t>
      </w:r>
    </w:p>
    <w:p>
      <w:pPr>
        <w:pStyle w:val="ListBullet"/>
      </w:pPr>
      <w:r>
        <w:t xml:space="preserve">Is a </w:t>
      </w:r>
      <w:r>
        <w:rPr>
          <w:b/>
        </w:rPr>
        <w:t>disclosure-selected sample</w:t>
      </w:r>
      <w:r>
        <w:t xml:space="preserve"> acceptable for this research question, given that private and foreign buyers can never be included?</w:t>
      </w:r>
    </w:p>
    <w:p>
      <w:pPr>
        <w:pStyle w:val="ListBullet"/>
      </w:pPr>
      <w:r>
        <w:t>Should the 150-passage human audit be completed before anything is presented as a finding?</w:t>
      </w:r>
    </w:p>
    <w:p>
      <w:pPr>
        <w:pStyle w:val="ListBullet"/>
      </w:pPr>
      <w:r>
        <w:t xml:space="preserve">Theme 1 mixes contractual executive terms with press-release rhetoric. </w:t>
      </w:r>
      <w:r>
        <w:rPr>
          <w:b/>
        </w:rPr>
        <w:t>Should announcements be excluded</w:t>
      </w:r>
      <w:r>
        <w:t xml:space="preserve"> from the corpus and the model refit?</w:t>
      </w:r>
    </w:p>
    <w:p>
      <w:pPr>
        <w:pStyle w:val="ListBullet"/>
      </w:pPr>
      <w:r>
        <w:t xml:space="preserve">Is </w:t>
      </w:r>
      <w:r>
        <w:rPr>
          <w:b/>
        </w:rPr>
        <w:t>17 AI-labelled deals</w:t>
      </w:r>
      <w:r>
        <w:t xml:space="preserve"> a usable subgroup, or should the year range widen first?</w:t>
      </w:r>
    </w:p>
    <w:p>
      <w:pPr>
        <w:pStyle w:val="ListBullet"/>
      </w:pPr>
      <w:r>
        <w:t xml:space="preserve">Should the deal-architecture layer be </w:t>
      </w:r>
      <w:r>
        <w:rPr>
          <w:b/>
        </w:rPr>
        <w:t>rebuilt at 133 deals</w:t>
      </w:r>
      <w:r>
        <w:t>, or remain a ten-deal deep verification alongside the large-sample text analysis?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