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Document Classification &amp; Extraction Solution</w:t>
      </w:r>
    </w:p>
    <w:p>
      <w:pPr>
        <w:jc w:val="center"/>
      </w:pPr>
      <w:r>
        <w:rPr>
          <w:color w:val="4472C4"/>
          <w:sz w:val="32"/>
        </w:rPr>
        <w:t>Intelligent Document Processing Pipeline</w:t>
      </w:r>
    </w:p>
    <w:p/>
    <w:p>
      <w:pPr>
        <w:jc w:val="center"/>
      </w:pPr>
      <w:r>
        <w:rPr>
          <w:sz w:val="28"/>
        </w:rPr>
        <w:t>Genpact | Azure AI Solution</w:t>
      </w:r>
    </w:p>
    <w:p/>
    <w:p/>
    <w:p>
      <w:pPr>
        <w:jc w:val="center"/>
      </w:pPr>
      <w:r>
        <w:rPr>
          <w:sz w:val="24"/>
        </w:rPr>
        <w:t>Date: May 2026</w:t>
        <w:br/>
      </w:r>
      <w:r>
        <w:rPr>
          <w:sz w:val="24"/>
        </w:rPr>
        <w:t>Platform: Azure Functions v4 (.NET 8)</w:t>
        <w:br/>
      </w:r>
      <w:r>
        <w:rPr>
          <w:sz w:val="24"/>
        </w:rPr>
        <w:t>AI Services: Azure Content Understanding + GPT-4.1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Solution Overview</w:t>
      </w:r>
    </w:p>
    <w:p>
      <w:pPr>
        <w:pStyle w:val="ListNumber"/>
      </w:pPr>
      <w:r>
        <w:t>2. Architecture &amp; Services</w:t>
      </w:r>
    </w:p>
    <w:p>
      <w:pPr>
        <w:pStyle w:val="ListNumber"/>
      </w:pPr>
      <w:r>
        <w:t>3. Document Classification Pipeline</w:t>
      </w:r>
    </w:p>
    <w:p>
      <w:pPr>
        <w:pStyle w:val="ListNumber"/>
      </w:pPr>
      <w:r>
        <w:t>4. GPT-4.1 Confidence Scoring</w:t>
      </w:r>
    </w:p>
    <w:p>
      <w:pPr>
        <w:pStyle w:val="ListNumber"/>
      </w:pPr>
      <w:r>
        <w:t>5. Field Extraction</w:t>
      </w:r>
    </w:p>
    <w:p>
      <w:pPr>
        <w:pStyle w:val="ListNumber"/>
      </w:pPr>
      <w:r>
        <w:t>6. Database Persistence</w:t>
      </w:r>
    </w:p>
    <w:p>
      <w:pPr>
        <w:pStyle w:val="ListNumber"/>
      </w:pPr>
      <w:r>
        <w:t>7. SME Assignment (Human-in-the-Loop)</w:t>
      </w:r>
    </w:p>
    <w:p>
      <w:pPr>
        <w:pStyle w:val="ListNumber"/>
      </w:pPr>
      <w:r>
        <w:t>8. Blob Routing &amp; File Organization</w:t>
      </w:r>
    </w:p>
    <w:p>
      <w:pPr>
        <w:pStyle w:val="ListNumber"/>
      </w:pPr>
      <w:r>
        <w:t>9. Document Categories &amp; Indicators</w:t>
      </w:r>
    </w:p>
    <w:p>
      <w:pPr>
        <w:pStyle w:val="ListNumber"/>
      </w:pPr>
      <w:r>
        <w:t>10. End-to-End Flow Diagram</w:t>
      </w:r>
    </w:p>
    <w:p>
      <w:pPr>
        <w:pStyle w:val="ListNumber"/>
      </w:pPr>
      <w:r>
        <w:t>11. Technology Stack</w:t>
      </w:r>
    </w:p>
    <w:p>
      <w:r>
        <w:br w:type="page"/>
      </w:r>
    </w:p>
    <w:p>
      <w:pPr>
        <w:pStyle w:val="Heading1"/>
      </w:pPr>
      <w:r>
        <w:t>1. Solution Overview</w:t>
      </w:r>
    </w:p>
    <w:p>
      <w:r>
        <w:t>This solution provides an end-to-end intelligent document processing pipeline that automatically classifies incoming documents, validates the classification using AI, extracts structured data, and routes documents to the appropriate teams for review.</w:t>
      </w:r>
    </w:p>
    <w:p/>
    <w:p>
      <w:pPr>
        <w:pStyle w:val="Heading2"/>
      </w:pPr>
      <w:r>
        <w:t>Key Capabilities</w:t>
      </w:r>
    </w:p>
    <w:p>
      <w:pPr>
        <w:pStyle w:val="ListBullet"/>
      </w:pPr>
      <w:r>
        <w:t>Automatic document classification into CRE (Commercial Real Estate), CNI (Commercial &amp; Industrial), Valuation, or Other</w:t>
      </w:r>
    </w:p>
    <w:p>
      <w:pPr>
        <w:pStyle w:val="ListBullet"/>
      </w:pPr>
      <w:r>
        <w:t>AI-powered confidence scoring using GPT-4.1 to validate classification accuracy</w:t>
      </w:r>
    </w:p>
    <w:p>
      <w:pPr>
        <w:pStyle w:val="ListBullet"/>
      </w:pPr>
      <w:r>
        <w:t>Structured field extraction using document-type-specific analyzers</w:t>
      </w:r>
    </w:p>
    <w:p>
      <w:pPr>
        <w:pStyle w:val="ListBullet"/>
      </w:pPr>
      <w:r>
        <w:t>Citation mapping with page numbers, bounding boxes, and highlight text</w:t>
      </w:r>
    </w:p>
    <w:p>
      <w:pPr>
        <w:pStyle w:val="ListBullet"/>
      </w:pPr>
      <w:r>
        <w:t>Human-in-the-Loop (HITL) flagging for low-confidence or ambiguous documents</w:t>
      </w:r>
    </w:p>
    <w:p>
      <w:pPr>
        <w:pStyle w:val="ListBullet"/>
      </w:pPr>
      <w:r>
        <w:t>Round-robin SME assignment for documents requiring review</w:t>
      </w:r>
    </w:p>
    <w:p>
      <w:pPr>
        <w:pStyle w:val="ListBullet"/>
      </w:pPr>
      <w:r>
        <w:t>Automated blob routing to classified folders</w:t>
      </w:r>
    </w:p>
    <w:p>
      <w:pPr>
        <w:pStyle w:val="ListBullet"/>
      </w:pPr>
      <w:r>
        <w:t>Full audit trail with job status tracking in SQL Server</w:t>
      </w:r>
    </w:p>
    <w:p>
      <w:r>
        <w:br w:type="page"/>
      </w:r>
    </w:p>
    <w:p>
      <w:pPr>
        <w:pStyle w:val="Heading1"/>
      </w:pPr>
      <w:r>
        <w:t>2. Architecture &amp; Services</w:t>
      </w:r>
    </w:p>
    <w:p>
      <w:r>
        <w:t>The solution is built as an Azure Function triggered by blob uploads. It orchestrates multiple services in a defined sequence: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Responsibility</w:t>
            </w:r>
          </w:p>
        </w:tc>
      </w:tr>
      <w:tr>
        <w:tc>
          <w:tcPr>
            <w:tcW w:type="dxa" w:w="2880"/>
          </w:tcPr>
          <w:p>
            <w:r>
              <w:t>ContentUnderstandingService</w:t>
            </w:r>
          </w:p>
        </w:tc>
        <w:tc>
          <w:tcPr>
            <w:tcW w:type="dxa" w:w="2880"/>
          </w:tcPr>
          <w:p>
            <w:r>
              <w:t>Azure AI Content Understanding API</w:t>
            </w:r>
          </w:p>
        </w:tc>
        <w:tc>
          <w:tcPr>
            <w:tcW w:type="dxa" w:w="2880"/>
          </w:tcPr>
          <w:p>
            <w:r>
              <w:t>Document classification + field extraction via analyzers</w:t>
            </w:r>
          </w:p>
        </w:tc>
      </w:tr>
      <w:tr>
        <w:tc>
          <w:tcPr>
            <w:tcW w:type="dxa" w:w="2880"/>
          </w:tcPr>
          <w:p>
            <w:r>
              <w:t>GPT-4.1 Confidence Scorer</w:t>
            </w:r>
          </w:p>
        </w:tc>
        <w:tc>
          <w:tcPr>
            <w:tcW w:type="dxa" w:w="2880"/>
          </w:tcPr>
          <w:p>
            <w:r>
              <w:t>Azure OpenAI (GPT-4.1)</w:t>
            </w:r>
          </w:p>
        </w:tc>
        <w:tc>
          <w:tcPr>
            <w:tcW w:type="dxa" w:w="2880"/>
          </w:tcPr>
          <w:p>
            <w:r>
              <w:t>Validates classification with reasoning and indicator matching</w:t>
            </w:r>
          </w:p>
        </w:tc>
      </w:tr>
      <w:tr>
        <w:tc>
          <w:tcPr>
            <w:tcW w:type="dxa" w:w="2880"/>
          </w:tcPr>
          <w:p>
            <w:r>
              <w:t>DocumentFieldExtractor</w:t>
            </w:r>
          </w:p>
        </w:tc>
        <w:tc>
          <w:tcPr>
            <w:tcW w:type="dxa" w:w="2880"/>
          </w:tcPr>
          <w:p>
            <w:r>
              <w:t>Custom .NET Service</w:t>
            </w:r>
          </w:p>
        </w:tc>
        <w:tc>
          <w:tcPr>
            <w:tcW w:type="dxa" w:w="2880"/>
          </w:tcPr>
          <w:p>
            <w:r>
              <w:t>Parses raw API responses into structured fields with citations</w:t>
            </w:r>
          </w:p>
        </w:tc>
      </w:tr>
      <w:tr>
        <w:tc>
          <w:tcPr>
            <w:tcW w:type="dxa" w:w="2880"/>
          </w:tcPr>
          <w:p>
            <w:r>
              <w:t>DatabaseService</w:t>
            </w:r>
          </w:p>
        </w:tc>
        <w:tc>
          <w:tcPr>
            <w:tcW w:type="dxa" w:w="2880"/>
          </w:tcPr>
          <w:p>
            <w:r>
              <w:t>Azure SQL Server</w:t>
            </w:r>
          </w:p>
        </w:tc>
        <w:tc>
          <w:tcPr>
            <w:tcW w:type="dxa" w:w="2880"/>
          </w:tcPr>
          <w:p>
            <w:r>
              <w:t>Persists extracted fields, job details, and audit trail</w:t>
            </w:r>
          </w:p>
        </w:tc>
      </w:tr>
      <w:tr>
        <w:tc>
          <w:tcPr>
            <w:tcW w:type="dxa" w:w="2880"/>
          </w:tcPr>
          <w:p>
            <w:r>
              <w:t>SmeAssignmentService</w:t>
            </w:r>
          </w:p>
        </w:tc>
        <w:tc>
          <w:tcPr>
            <w:tcW w:type="dxa" w:w="2880"/>
          </w:tcPr>
          <w:p>
            <w:r>
              <w:t>Azure SQL Server</w:t>
            </w:r>
          </w:p>
        </w:tc>
        <w:tc>
          <w:tcPr>
            <w:tcW w:type="dxa" w:w="2880"/>
          </w:tcPr>
          <w:p>
            <w:r>
              <w:t>Assigns documents to SMEs via round-robin for HITL review</w:t>
            </w:r>
          </w:p>
        </w:tc>
      </w:tr>
      <w:tr>
        <w:tc>
          <w:tcPr>
            <w:tcW w:type="dxa" w:w="2880"/>
          </w:tcPr>
          <w:p>
            <w:r>
              <w:t>BlobRoutingService</w:t>
            </w:r>
          </w:p>
        </w:tc>
        <w:tc>
          <w:tcPr>
            <w:tcW w:type="dxa" w:w="2880"/>
          </w:tcPr>
          <w:p>
            <w:r>
              <w:t>Azure Blob Storage</w:t>
            </w:r>
          </w:p>
        </w:tc>
        <w:tc>
          <w:tcPr>
            <w:tcW w:type="dxa" w:w="2880"/>
          </w:tcPr>
          <w:p>
            <w:r>
              <w:t>Moves documents to classified folders after processing</w:t>
            </w:r>
          </w:p>
        </w:tc>
      </w:tr>
      <w:tr>
        <w:tc>
          <w:tcPr>
            <w:tcW w:type="dxa" w:w="2880"/>
          </w:tcPr>
          <w:p>
            <w:r>
              <w:t>CitationService</w:t>
            </w:r>
          </w:p>
        </w:tc>
        <w:tc>
          <w:tcPr>
            <w:tcW w:type="dxa" w:w="2880"/>
          </w:tcPr>
          <w:p>
            <w:r>
              <w:t>Custom .NET Service</w:t>
            </w:r>
          </w:p>
        </w:tc>
        <w:tc>
          <w:tcPr>
            <w:tcW w:type="dxa" w:w="2880"/>
          </w:tcPr>
          <w:p>
            <w:r>
              <w:t>Maps field values to specific page locations and bounding boxes</w:t>
            </w:r>
          </w:p>
        </w:tc>
      </w:tr>
    </w:tbl>
    <w:p/>
    <w:p>
      <w:pPr>
        <w:pStyle w:val="Heading2"/>
      </w:pPr>
      <w:r>
        <w:t>Trigger Mechanism</w:t>
      </w:r>
    </w:p>
    <w:p>
      <w:r>
        <w:t>The pipeline is triggered automatically when a document is uploaded to the Azure Blob Storage container:</w:t>
      </w:r>
    </w:p>
    <w:p>
      <w:r>
        <w:rPr>
          <w:b/>
        </w:rPr>
        <w:t xml:space="preserve">Container: </w:t>
      </w:r>
      <w:r>
        <w:t>genpact</w:t>
      </w:r>
    </w:p>
    <w:p>
      <w:r>
        <w:rPr>
          <w:b/>
        </w:rPr>
        <w:t xml:space="preserve">Path: </w:t>
      </w:r>
      <w:r>
        <w:t>incoming-documents/{filename}</w:t>
      </w:r>
    </w:p>
    <w:p>
      <w:r>
        <w:rPr>
          <w:b/>
        </w:rPr>
        <w:t xml:space="preserve">Supported Formats: </w:t>
      </w:r>
      <w:r>
        <w:t>PDF, DOCX, and other document formats</w:t>
      </w:r>
    </w:p>
    <w:p>
      <w:r>
        <w:br w:type="page"/>
      </w:r>
    </w:p>
    <w:p>
      <w:pPr>
        <w:pStyle w:val="Heading1"/>
      </w:pPr>
      <w:r>
        <w:t>3. Document Classification Pipeline</w:t>
      </w:r>
    </w:p>
    <w:p>
      <w:pPr>
        <w:pStyle w:val="Heading2"/>
      </w:pPr>
      <w:r>
        <w:t>Step 1: Classifier Provisioning</w:t>
      </w:r>
    </w:p>
    <w:p>
      <w:r>
        <w:t>The system automatically provisions an Azure Content Understanding classifier with the ID:</w:t>
      </w:r>
    </w:p>
    <w:p>
      <w:r>
        <w:rPr>
          <w:b/>
        </w:rPr>
        <w:t>doc_classifier_cre_cni_valuation_confidence_score_other</w:t>
      </w:r>
    </w:p>
    <w:p>
      <w:r>
        <w:t>This classifier is configured with detailed category descriptions and strong indicators for each document type. It uses a pre-built document model as the base analyzer and GPT-4.1 as the completion model for intelligent classification.</w:t>
      </w:r>
    </w:p>
    <w:p>
      <w:pPr>
        <w:pStyle w:val="Heading2"/>
      </w:pPr>
      <w:r>
        <w:t>Step 2: Document Submission</w:t>
      </w:r>
    </w:p>
    <w:p>
      <w:r>
        <w:t>The document is submitted to the Azure Content Understanding API:</w:t>
      </w:r>
    </w:p>
    <w:p>
      <w:r>
        <w:rPr>
          <w:b/>
        </w:rPr>
        <w:t xml:space="preserve">API Endpoint: </w:t>
      </w:r>
      <w:r>
        <w:t>{endpoint}/contentunderstanding/analyzers/{classifierId}:analyze</w:t>
      </w:r>
    </w:p>
    <w:p>
      <w:r>
        <w:rPr>
          <w:b/>
        </w:rPr>
        <w:t xml:space="preserve">API Version: </w:t>
      </w:r>
      <w:r>
        <w:t>2025-11-01</w:t>
      </w:r>
    </w:p>
    <w:p>
      <w:r>
        <w:rPr>
          <w:b/>
        </w:rPr>
        <w:t xml:space="preserve">Authentication: </w:t>
      </w:r>
      <w:r>
        <w:t>Ocp-Apim-Subscription-Key header</w:t>
      </w:r>
    </w:p>
    <w:p>
      <w:r>
        <w:t>The API processes the document asynchronously. The system polls the Operation-Location URL until classification completes (with exponential backoff, max 900 seconds).</w:t>
      </w:r>
    </w:p>
    <w:p>
      <w:pPr>
        <w:pStyle w:val="Heading2"/>
      </w:pPr>
      <w:r>
        <w:t>Step 3: Classification Results</w:t>
      </w:r>
    </w:p>
    <w:p>
      <w:r>
        <w:t>The classifier returns segments with:</w:t>
      </w:r>
    </w:p>
    <w:p>
      <w:pPr>
        <w:pStyle w:val="ListBullet"/>
      </w:pPr>
      <w:r>
        <w:t>Category — The document type (CRE, CNI, Valuation, or Other)</w:t>
      </w:r>
    </w:p>
    <w:p>
      <w:pPr>
        <w:pStyle w:val="ListBullet"/>
      </w:pPr>
      <w:r>
        <w:t>Confidence — Native classifier confidence score (0.0 to 1.0)</w:t>
      </w:r>
    </w:p>
    <w:p>
      <w:pPr>
        <w:pStyle w:val="ListBullet"/>
      </w:pPr>
      <w:r>
        <w:t>Start/End Page Numbers — Page range for each classified segment</w:t>
      </w:r>
    </w:p>
    <w:p>
      <w:pPr>
        <w:pStyle w:val="ListBullet"/>
      </w:pPr>
      <w:r>
        <w:t>Markdown Content — Full text extraction for downstream processing</w:t>
      </w:r>
    </w:p>
    <w:p>
      <w:r>
        <w:br w:type="page"/>
      </w:r>
    </w:p>
    <w:p>
      <w:pPr>
        <w:pStyle w:val="Heading1"/>
      </w:pPr>
      <w:r>
        <w:t>4. GPT-4.1 Confidence Scoring</w:t>
      </w:r>
    </w:p>
    <w:p>
      <w:r>
        <w:t>After the initial classification, the system performs a second-level validation using GPT-4.1. This acts as a quality gate to ensure classification accuracy before proceeding to extraction.</w:t>
      </w:r>
    </w:p>
    <w:p>
      <w:pPr>
        <w:pStyle w:val="Heading2"/>
      </w:pPr>
      <w:r>
        <w:t>How It Works</w:t>
      </w:r>
    </w:p>
    <w:p>
      <w:r>
        <w:t>1. Extract a representative page sample (20% of document pages) as markdown text</w:t>
      </w:r>
    </w:p>
    <w:p>
      <w:r>
        <w:t>2. Send the excerpt + assigned category to GPT-4.1 with a structured scoring prompt</w:t>
      </w:r>
    </w:p>
    <w:p>
      <w:r>
        <w:t>3. GPT-4.1 evaluates whether the document matches the assigned category based on domain-specific indicators</w:t>
      </w:r>
    </w:p>
    <w:p>
      <w:r>
        <w:t>4. Returns a confidence percentage (0-99) with detailed reasoning</w:t>
      </w:r>
    </w:p>
    <w:p>
      <w:pPr>
        <w:pStyle w:val="Heading2"/>
      </w:pPr>
      <w:r>
        <w:t>Scoring Rules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Score Range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91-99%</w:t>
            </w:r>
          </w:p>
        </w:tc>
        <w:tc>
          <w:tcPr>
            <w:tcW w:type="dxa" w:w="4320"/>
          </w:tcPr>
          <w:p>
            <w:r>
              <w:t>Document overwhelmingly matches — many strong indicators present, no competing signals</w:t>
            </w:r>
          </w:p>
        </w:tc>
      </w:tr>
      <w:tr>
        <w:tc>
          <w:tcPr>
            <w:tcW w:type="dxa" w:w="4320"/>
          </w:tcPr>
          <w:p>
            <w:r>
              <w:t>70-89%</w:t>
            </w:r>
          </w:p>
        </w:tc>
        <w:tc>
          <w:tcPr>
            <w:tcW w:type="dxa" w:w="4320"/>
          </w:tcPr>
          <w:p>
            <w:r>
              <w:t>Document clearly matches — several strong indicators but not all present</w:t>
            </w:r>
          </w:p>
        </w:tc>
      </w:tr>
      <w:tr>
        <w:tc>
          <w:tcPr>
            <w:tcW w:type="dxa" w:w="4320"/>
          </w:tcPr>
          <w:p>
            <w:r>
              <w:t>50-69%</w:t>
            </w:r>
          </w:p>
        </w:tc>
        <w:tc>
          <w:tcPr>
            <w:tcW w:type="dxa" w:w="4320"/>
          </w:tcPr>
          <w:p>
            <w:r>
              <w:t>Ambiguous — some indicators match but competing signals exist</w:t>
            </w:r>
          </w:p>
        </w:tc>
      </w:tr>
      <w:tr>
        <w:tc>
          <w:tcPr>
            <w:tcW w:type="dxa" w:w="4320"/>
          </w:tcPr>
          <w:p>
            <w:r>
              <w:t>30-49%</w:t>
            </w:r>
          </w:p>
        </w:tc>
        <w:tc>
          <w:tcPr>
            <w:tcW w:type="dxa" w:w="4320"/>
          </w:tcPr>
          <w:p>
            <w:r>
              <w:t>Weak match — another category may be more appropriate</w:t>
            </w:r>
          </w:p>
        </w:tc>
      </w:tr>
      <w:tr>
        <w:tc>
          <w:tcPr>
            <w:tcW w:type="dxa" w:w="4320"/>
          </w:tcPr>
          <w:p>
            <w:r>
              <w:t>0-29%</w:t>
            </w:r>
          </w:p>
        </w:tc>
        <w:tc>
          <w:tcPr>
            <w:tcW w:type="dxa" w:w="4320"/>
          </w:tcPr>
          <w:p>
            <w:r>
              <w:t>Likely misclassified</w:t>
            </w:r>
          </w:p>
        </w:tc>
      </w:tr>
    </w:tbl>
    <w:p/>
    <w:p>
      <w:pPr>
        <w:pStyle w:val="Heading2"/>
      </w:pPr>
      <w:r>
        <w:t>Confidence Threshold</w:t>
      </w:r>
    </w:p>
    <w:p>
      <w:r>
        <w:rPr>
          <w:b/>
        </w:rPr>
        <w:t>Threshold: 70%</w:t>
      </w:r>
    </w:p>
    <w:p>
      <w:r>
        <w:t>If the GPT confidence score is below 70%, the document is flagged for human intervention and extraction is skipped. This ensures that only confidently classified documents proceed through the automated extraction pipeline.</w:t>
      </w:r>
    </w:p>
    <w:p>
      <w:pPr>
        <w:pStyle w:val="Heading2"/>
      </w:pPr>
      <w:r>
        <w:t>GPT Response Format</w:t>
      </w:r>
    </w:p>
    <w:p>
      <w:r>
        <w:t>GPT-4.1 returns structured JSON with:</w:t>
      </w:r>
    </w:p>
    <w:p>
      <w:pPr>
        <w:pStyle w:val="ListBullet"/>
      </w:pPr>
      <w:r>
        <w:t>confidence_percent — Integer score (0-99)</w:t>
      </w:r>
    </w:p>
    <w:p>
      <w:pPr>
        <w:pStyle w:val="ListBullet"/>
      </w:pPr>
      <w:r>
        <w:t>reasoning — 2-3 sentence explanation of the score</w:t>
      </w:r>
    </w:p>
    <w:p>
      <w:pPr>
        <w:pStyle w:val="ListBullet"/>
      </w:pPr>
      <w:r>
        <w:t>matched_indicators — List of category indicators found in the document</w:t>
      </w:r>
    </w:p>
    <w:p>
      <w:pPr>
        <w:pStyle w:val="ListBullet"/>
      </w:pPr>
      <w:r>
        <w:t>missing_indicators — List of expected indicators not found</w:t>
      </w:r>
    </w:p>
    <w:p>
      <w:pPr>
        <w:pStyle w:val="ListBullet"/>
      </w:pPr>
      <w:r>
        <w:t>competing_category — If another category might be a better fit</w:t>
      </w:r>
    </w:p>
    <w:p>
      <w:pPr>
        <w:pStyle w:val="ListBullet"/>
      </w:pPr>
      <w:r>
        <w:t>competing_confidence_percent — Confidence for the competing category</w:t>
      </w:r>
    </w:p>
    <w:p>
      <w:r>
        <w:br w:type="page"/>
      </w:r>
    </w:p>
    <w:p>
      <w:pPr>
        <w:pStyle w:val="Heading1"/>
      </w:pPr>
      <w:r>
        <w:t>5. Field Extraction</w:t>
      </w:r>
    </w:p>
    <w:p>
      <w:r>
        <w:t>After classification passes the confidence threshold, the system extracts structured fields using document-type-specific analyzers.</w:t>
      </w:r>
    </w:p>
    <w:p>
      <w:pPr>
        <w:pStyle w:val="Heading2"/>
      </w:pPr>
      <w:r>
        <w:t>Extraction Analyzers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Document Type</w:t>
            </w:r>
          </w:p>
        </w:tc>
        <w:tc>
          <w:tcPr>
            <w:tcW w:type="dxa" w:w="2880"/>
          </w:tcPr>
          <w:p>
            <w:r>
              <w:t>Analyzer ID</w:t>
            </w:r>
          </w:p>
        </w:tc>
        <w:tc>
          <w:tcPr>
            <w:tcW w:type="dxa" w:w="2880"/>
          </w:tcPr>
          <w:p>
            <w:r>
              <w:t>Schema File</w:t>
            </w:r>
          </w:p>
        </w:tc>
      </w:tr>
      <w:tr>
        <w:tc>
          <w:tcPr>
            <w:tcW w:type="dxa" w:w="2880"/>
          </w:tcPr>
          <w:p>
            <w:r>
              <w:t>Valuation (Appraisal)</w:t>
            </w:r>
          </w:p>
        </w:tc>
        <w:tc>
          <w:tcPr>
            <w:tcW w:type="dxa" w:w="2880"/>
          </w:tcPr>
          <w:p>
            <w:r>
              <w:t>appraisal_report_analyzer</w:t>
            </w:r>
          </w:p>
        </w:tc>
        <w:tc>
          <w:tcPr>
            <w:tcW w:type="dxa" w:w="2880"/>
          </w:tcPr>
          <w:p>
            <w:r>
              <w:t>appraisal_report_analyzer.json</w:t>
            </w:r>
          </w:p>
        </w:tc>
      </w:tr>
      <w:tr>
        <w:tc>
          <w:tcPr>
            <w:tcW w:type="dxa" w:w="2880"/>
          </w:tcPr>
          <w:p>
            <w:r>
              <w:t>CRE (Loan)</w:t>
            </w:r>
          </w:p>
        </w:tc>
        <w:tc>
          <w:tcPr>
            <w:tcW w:type="dxa" w:w="2880"/>
          </w:tcPr>
          <w:p>
            <w:r>
              <w:t>cre_loan_analyzer</w:t>
            </w:r>
          </w:p>
        </w:tc>
        <w:tc>
          <w:tcPr>
            <w:tcW w:type="dxa" w:w="2880"/>
          </w:tcPr>
          <w:p>
            <w:r>
              <w:t>cre_loan_analyzer.json</w:t>
            </w:r>
          </w:p>
        </w:tc>
      </w:tr>
      <w:tr>
        <w:tc>
          <w:tcPr>
            <w:tcW w:type="dxa" w:w="2880"/>
          </w:tcPr>
          <w:p>
            <w:r>
              <w:t>CNI (Commercial &amp; Industrial)</w:t>
            </w:r>
          </w:p>
        </w:tc>
        <w:tc>
          <w:tcPr>
            <w:tcW w:type="dxa" w:w="2880"/>
          </w:tcPr>
          <w:p>
            <w:r>
              <w:t>cni_agreement_analyzer</w:t>
            </w:r>
          </w:p>
        </w:tc>
        <w:tc>
          <w:tcPr>
            <w:tcW w:type="dxa" w:w="2880"/>
          </w:tcPr>
          <w:p>
            <w:r>
              <w:t>cni_agreement_analyzer.json</w:t>
            </w:r>
          </w:p>
        </w:tc>
      </w:tr>
    </w:tbl>
    <w:p/>
    <w:p>
      <w:pPr>
        <w:pStyle w:val="Heading2"/>
      </w:pPr>
      <w:r>
        <w:t>Field Methods</w:t>
      </w:r>
    </w:p>
    <w:p>
      <w:r>
        <w:t>Each field in an analyzer schema has a method:</w:t>
      </w:r>
    </w:p>
    <w:p>
      <w:pPr>
        <w:pStyle w:val="ListBullet"/>
      </w:pPr>
      <w:r>
        <w:t>Extract — Value is pulled directly from the document text (OCR/layout-based)</w:t>
      </w:r>
    </w:p>
    <w:p>
      <w:pPr>
        <w:pStyle w:val="ListBullet"/>
      </w:pPr>
      <w:r>
        <w:t>Generate — Value is inferred/summarized by the AI model from context</w:t>
      </w:r>
    </w:p>
    <w:p>
      <w:pPr>
        <w:pStyle w:val="Heading2"/>
      </w:pPr>
      <w:r>
        <w:t>Field-Level Confidence</w:t>
      </w:r>
    </w:p>
    <w:p>
      <w:r>
        <w:t>Each extracted field includes a confidence score. Fields with confidence below 0.5 are flagged as requiring human review (HITL). Their value is set to "H-I-T-L" to indicate that a subject matter expert needs to verify/correct the value.</w:t>
      </w:r>
    </w:p>
    <w:p>
      <w:pPr>
        <w:pStyle w:val="Heading2"/>
      </w:pPr>
      <w:r>
        <w:t>Citations</w:t>
      </w:r>
    </w:p>
    <w:p>
      <w:r>
        <w:t>Each extracted field is enriched with citation data:</w:t>
      </w:r>
    </w:p>
    <w:p>
      <w:pPr>
        <w:pStyle w:val="ListBullet"/>
      </w:pPr>
      <w:r>
        <w:t>Page number where the value was found</w:t>
      </w:r>
    </w:p>
    <w:p>
      <w:pPr>
        <w:pStyle w:val="ListBullet"/>
      </w:pPr>
      <w:r>
        <w:t>PDF link with SAS token for direct access</w:t>
      </w:r>
    </w:p>
    <w:p>
      <w:pPr>
        <w:pStyle w:val="ListBullet"/>
      </w:pPr>
      <w:r>
        <w:t>Span offset and length in the document text</w:t>
      </w:r>
    </w:p>
    <w:p>
      <w:pPr>
        <w:pStyle w:val="ListBullet"/>
      </w:pPr>
      <w:r>
        <w:t>Highlight text showing the exact source passage</w:t>
      </w:r>
    </w:p>
    <w:p>
      <w:pPr>
        <w:pStyle w:val="ListBullet"/>
      </w:pPr>
      <w:r>
        <w:t>Bounding box coordinates (X, Y, Width, Height) for visual highlighting</w:t>
      </w:r>
    </w:p>
    <w:p>
      <w:r>
        <w:br w:type="page"/>
      </w:r>
    </w:p>
    <w:p>
      <w:pPr>
        <w:pStyle w:val="Heading1"/>
      </w:pPr>
      <w:r>
        <w:t>6. Database Persistence</w:t>
      </w:r>
    </w:p>
    <w:p>
      <w:r>
        <w:t>All extracted data is persisted to Azure SQL Server using MERGE (upsert) operations.</w:t>
      </w:r>
    </w:p>
    <w:p>
      <w:pPr>
        <w:pStyle w:val="Heading2"/>
      </w:pPr>
      <w:r>
        <w:t>Tables</w:t>
      </w:r>
    </w:p>
    <w:p>
      <w:pPr>
        <w:pStyle w:val="Heading3"/>
      </w:pPr>
      <w:r>
        <w:t>FeatureData Table</w:t>
      </w:r>
    </w:p>
    <w:p>
      <w:r>
        <w:t>Stores each extracted field with full metadata:</w:t>
      </w:r>
    </w:p>
    <w:p>
      <w:pPr>
        <w:pStyle w:val="ListBullet"/>
      </w:pPr>
      <w:r>
        <w:t>DocumentId — Unique document identifier (derived from filename)</w:t>
      </w:r>
    </w:p>
    <w:p>
      <w:pPr>
        <w:pStyle w:val="ListBullet"/>
      </w:pPr>
      <w:r>
        <w:t>FeatureId — Numeric ID mapped from field name</w:t>
      </w:r>
    </w:p>
    <w:p>
      <w:pPr>
        <w:pStyle w:val="ListBullet"/>
      </w:pPr>
      <w:r>
        <w:t>FieldName — Human-readable field name</w:t>
      </w:r>
    </w:p>
    <w:p>
      <w:pPr>
        <w:pStyle w:val="ListBullet"/>
      </w:pPr>
      <w:r>
        <w:t>Value — Extracted or generated value</w:t>
      </w:r>
    </w:p>
    <w:p>
      <w:pPr>
        <w:pStyle w:val="ListBullet"/>
      </w:pPr>
      <w:r>
        <w:t>Confidence — Field-level confidence (0.0 to 1.0)</w:t>
      </w:r>
    </w:p>
    <w:p>
      <w:pPr>
        <w:pStyle w:val="ListBullet"/>
      </w:pPr>
      <w:r>
        <w:t>FieldMethod — "extract" or "generate"</w:t>
      </w:r>
    </w:p>
    <w:p>
      <w:pPr>
        <w:pStyle w:val="ListBullet"/>
      </w:pPr>
      <w:r>
        <w:t>ConfidenceReason — Explanation of the confidence score</w:t>
      </w:r>
    </w:p>
    <w:p>
      <w:pPr>
        <w:pStyle w:val="ListBullet"/>
      </w:pPr>
      <w:r>
        <w:t>ReviewRequired — Boolean flag for HITL review</w:t>
      </w:r>
    </w:p>
    <w:p>
      <w:pPr>
        <w:pStyle w:val="ListBullet"/>
      </w:pPr>
      <w:r>
        <w:t>Citation fields — PageNumber, PdfLink, SpanOffset, SpanLength, HighlightText, BoundingBox</w:t>
      </w:r>
    </w:p>
    <w:p>
      <w:pPr>
        <w:pStyle w:val="Heading3"/>
      </w:pPr>
      <w:r>
        <w:t>JobDetails Table</w:t>
      </w:r>
    </w:p>
    <w:p>
      <w:r>
        <w:t>Tracks the processing status of each document:</w:t>
      </w:r>
    </w:p>
    <w:p>
      <w:pPr>
        <w:pStyle w:val="ListBullet"/>
      </w:pPr>
      <w:r>
        <w:t>JobId — Unique processing job identifier</w:t>
      </w:r>
    </w:p>
    <w:p>
      <w:pPr>
        <w:pStyle w:val="ListBullet"/>
      </w:pPr>
      <w:r>
        <w:t>DocumentId — Links to the source document</w:t>
      </w:r>
    </w:p>
    <w:p>
      <w:pPr>
        <w:pStyle w:val="ListBullet"/>
      </w:pPr>
      <w:r>
        <w:t>Status — "Successful", "Partially Successful", "Failed", or "No Fields Extracted"</w:t>
      </w:r>
    </w:p>
    <w:p>
      <w:r>
        <w:br w:type="page"/>
      </w:r>
    </w:p>
    <w:p>
      <w:pPr>
        <w:pStyle w:val="Heading1"/>
      </w:pPr>
      <w:r>
        <w:t>7. SME Assignment (Human-in-the-Loop)</w:t>
      </w:r>
    </w:p>
    <w:p>
      <w:r>
        <w:t>When extracted fields require human review (confidence &lt; 0.5), the document is automatically assigned to a Subject Matter Expert (SME) for verification.</w:t>
      </w:r>
    </w:p>
    <w:p>
      <w:pPr>
        <w:pStyle w:val="Heading2"/>
      </w:pPr>
      <w:r>
        <w:t>Round-Robin Assignment</w:t>
      </w:r>
    </w:p>
    <w:p>
      <w:r>
        <w:t>The assignment algorithm:</w:t>
      </w:r>
    </w:p>
    <w:p>
      <w:r>
        <w:t>1. Identifies active SMEs for the document type (CRE, CNI, Valuation)</w:t>
      </w:r>
    </w:p>
    <w:p>
      <w:r>
        <w:t>2. Retrieves the last assigned SME pointer from the RoundRobinPointer table</w:t>
      </w:r>
    </w:p>
    <w:p>
      <w:r>
        <w:t>3. Selects the next eligible SME (must be active and under concurrent limit)</w:t>
      </w:r>
    </w:p>
    <w:p>
      <w:r>
        <w:t>4. Creates an assignment record and updates the pointer</w:t>
      </w:r>
    </w:p>
    <w:p>
      <w:pPr>
        <w:pStyle w:val="Heading2"/>
      </w:pPr>
      <w:r>
        <w:t>Reassignment</w:t>
      </w:r>
    </w:p>
    <w:p>
      <w:r>
        <w:t>Documents can be reassigned to different SMEs if needed. The system marks the current assignment as "Reassigned" and creates a new assignment for the target SME.</w:t>
      </w:r>
    </w:p>
    <w:p>
      <w:pPr>
        <w:pStyle w:val="Heading2"/>
      </w:pPr>
      <w:r>
        <w:t>When Human Intervention is Required</w:t>
      </w:r>
    </w:p>
    <w:p>
      <w:pPr>
        <w:pStyle w:val="ListBullet"/>
      </w:pPr>
      <w:r>
        <w:t>Document classified as "Other" (unknown category)</w:t>
      </w:r>
    </w:p>
    <w:p>
      <w:pPr>
        <w:pStyle w:val="ListBullet"/>
      </w:pPr>
      <w:r>
        <w:t>GPT confidence score below 70% for the assigned category</w:t>
      </w:r>
    </w:p>
    <w:p>
      <w:pPr>
        <w:pStyle w:val="ListBullet"/>
      </w:pPr>
      <w:r>
        <w:t>Individual field confidence below 0.5 (field-level HITL)</w:t>
      </w:r>
    </w:p>
    <w:p>
      <w:r>
        <w:br w:type="page"/>
      </w:r>
    </w:p>
    <w:p>
      <w:pPr>
        <w:pStyle w:val="Heading1"/>
      </w:pPr>
      <w:r>
        <w:t>8. Blob Routing &amp; File Organization</w:t>
      </w:r>
    </w:p>
    <w:p>
      <w:r>
        <w:t>After successful processing, documents are automatically moved from the intake folder to their classified destination folder.</w:t>
      </w:r>
    </w:p>
    <w:p>
      <w:pPr>
        <w:pStyle w:val="Heading2"/>
      </w:pPr>
      <w:r>
        <w:t>Routing Rules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Destination Folder</w:t>
            </w:r>
          </w:p>
        </w:tc>
      </w:tr>
      <w:tr>
        <w:tc>
          <w:tcPr>
            <w:tcW w:type="dxa" w:w="4320"/>
          </w:tcPr>
          <w:p>
            <w:r>
              <w:t>CRE (Loan)</w:t>
            </w:r>
          </w:p>
        </w:tc>
        <w:tc>
          <w:tcPr>
            <w:tcW w:type="dxa" w:w="4320"/>
          </w:tcPr>
          <w:p>
            <w:r>
              <w:t>genpact/cre_loan/</w:t>
            </w:r>
          </w:p>
        </w:tc>
      </w:tr>
      <w:tr>
        <w:tc>
          <w:tcPr>
            <w:tcW w:type="dxa" w:w="4320"/>
          </w:tcPr>
          <w:p>
            <w:r>
              <w:t>Valuation (Appraisal)</w:t>
            </w:r>
          </w:p>
        </w:tc>
        <w:tc>
          <w:tcPr>
            <w:tcW w:type="dxa" w:w="4320"/>
          </w:tcPr>
          <w:p>
            <w:r>
              <w:t>genpact/cre_valuation/</w:t>
            </w:r>
          </w:p>
        </w:tc>
      </w:tr>
      <w:tr>
        <w:tc>
          <w:tcPr>
            <w:tcW w:type="dxa" w:w="4320"/>
          </w:tcPr>
          <w:p>
            <w:r>
              <w:t>CNI</w:t>
            </w:r>
          </w:p>
        </w:tc>
        <w:tc>
          <w:tcPr>
            <w:tcW w:type="dxa" w:w="4320"/>
          </w:tcPr>
          <w:p>
            <w:r>
              <w:t>genpact/cni/</w:t>
            </w:r>
          </w:p>
        </w:tc>
      </w:tr>
    </w:tbl>
    <w:p/>
    <w:p>
      <w:pPr>
        <w:pStyle w:val="Heading2"/>
      </w:pPr>
      <w:r>
        <w:t>File Naming Convention</w:t>
      </w:r>
    </w:p>
    <w:p>
      <w:r>
        <w:t>Routed documents are renamed based on extracted metadata (borrower name, document type, date) to enable easy identification and search.</w:t>
      </w:r>
    </w:p>
    <w:p>
      <w:pPr>
        <w:pStyle w:val="Heading2"/>
      </w:pPr>
      <w:r>
        <w:t>Routing is Skipped When</w:t>
      </w:r>
    </w:p>
    <w:p>
      <w:pPr>
        <w:pStyle w:val="ListBullet"/>
      </w:pPr>
      <w:r>
        <w:t>Document category is "Other"</w:t>
      </w:r>
    </w:p>
    <w:p>
      <w:pPr>
        <w:pStyle w:val="ListBullet"/>
      </w:pPr>
      <w:r>
        <w:t>Confidence score is below 70% (requires human intervention)</w:t>
      </w:r>
    </w:p>
    <w:p>
      <w:pPr>
        <w:pStyle w:val="ListBullet"/>
      </w:pPr>
      <w:r>
        <w:t>Processing encountered errors</w:t>
      </w:r>
    </w:p>
    <w:p>
      <w:r>
        <w:br w:type="page"/>
      </w:r>
    </w:p>
    <w:p>
      <w:pPr>
        <w:pStyle w:val="Heading1"/>
      </w:pPr>
      <w:r>
        <w:t>9. Document Categories &amp; Indicators</w:t>
      </w:r>
    </w:p>
    <w:p>
      <w:pPr>
        <w:pStyle w:val="Heading2"/>
      </w:pPr>
      <w:r>
        <w:t>Valuation (Appraisal Reports)</w:t>
      </w:r>
    </w:p>
    <w:p>
      <w:r>
        <w:t>Appraisal or valuation reports focused on estimating property value and collateral value using valuation methodology and appraisal standards.</w:t>
      </w:r>
    </w:p>
    <w:p/>
    <w:p>
      <w:r>
        <w:rPr>
          <w:b/>
        </w:rPr>
        <w:t>Strong Indicators:</w:t>
      </w:r>
    </w:p>
    <w:p>
      <w:pPr>
        <w:pStyle w:val="ListBullet"/>
      </w:pPr>
      <w:r>
        <w:t>Effective age, remaining economic life</w:t>
      </w:r>
    </w:p>
    <w:p>
      <w:pPr>
        <w:pStyle w:val="ListBullet"/>
      </w:pPr>
      <w:r>
        <w:t>USPAP compliance, RICS Red Book valuation</w:t>
      </w:r>
    </w:p>
    <w:p>
      <w:pPr>
        <w:pStyle w:val="ListBullet"/>
      </w:pPr>
      <w:r>
        <w:t>Comparable sales analysis, paired sales analysis</w:t>
      </w:r>
    </w:p>
    <w:p>
      <w:pPr>
        <w:pStyle w:val="ListBullet"/>
      </w:pPr>
      <w:r>
        <w:t>Yield capitalization, band of investment</w:t>
      </w:r>
    </w:p>
    <w:p>
      <w:pPr>
        <w:pStyle w:val="ListBullet"/>
      </w:pPr>
      <w:r>
        <w:t>Scope of work, neighborhood analysis</w:t>
      </w:r>
    </w:p>
    <w:p>
      <w:pPr>
        <w:pStyle w:val="ListBullet"/>
      </w:pPr>
      <w:r>
        <w:t>Site coverage ratio, floor area ratio</w:t>
      </w:r>
    </w:p>
    <w:p>
      <w:pPr>
        <w:pStyle w:val="ListBullet"/>
      </w:pPr>
      <w:r>
        <w:t>Going concern value, business enterprise value</w:t>
      </w:r>
    </w:p>
    <w:p>
      <w:pPr>
        <w:pStyle w:val="ListBullet"/>
      </w:pPr>
      <w:r>
        <w:t>Retrospective/prospective valuation</w:t>
      </w:r>
    </w:p>
    <w:p>
      <w:pPr>
        <w:pStyle w:val="Heading2"/>
      </w:pPr>
      <w:r>
        <w:t>CRE (Commercial Real Estate Loans)</w:t>
      </w:r>
    </w:p>
    <w:p>
      <w:r>
        <w:t>Commercial real estate loan agreements or legal credit packages secured by real property, with covenant, collateral control, tenant controls, and cash-flow control language.</w:t>
      </w:r>
    </w:p>
    <w:p/>
    <w:p>
      <w:r>
        <w:rPr>
          <w:b/>
        </w:rPr>
        <w:t>Strong Indicators:</w:t>
      </w:r>
    </w:p>
    <w:p>
      <w:pPr>
        <w:pStyle w:val="ListBullet"/>
      </w:pPr>
      <w:r>
        <w:t>Assignment of Leases and Rents</w:t>
      </w:r>
    </w:p>
    <w:p>
      <w:pPr>
        <w:pStyle w:val="ListBullet"/>
      </w:pPr>
      <w:r>
        <w:t>Tenant estoppel certificates</w:t>
      </w:r>
    </w:p>
    <w:p>
      <w:pPr>
        <w:pStyle w:val="ListBullet"/>
      </w:pPr>
      <w:r>
        <w:t>Non-recourse carveouts / bad boy guaranty</w:t>
      </w:r>
    </w:p>
    <w:p>
      <w:pPr>
        <w:pStyle w:val="ListBullet"/>
      </w:pPr>
      <w:r>
        <w:t>DSCR triggers, stabilization conditions</w:t>
      </w:r>
    </w:p>
    <w:p>
      <w:pPr>
        <w:pStyle w:val="ListBullet"/>
      </w:pPr>
      <w:r>
        <w:t>Property cash flow waterfall, net cash flow sweep</w:t>
      </w:r>
    </w:p>
    <w:p>
      <w:pPr>
        <w:pStyle w:val="ListBullet"/>
      </w:pPr>
      <w:r>
        <w:t>Mortgage deed / deed of trust</w:t>
      </w:r>
    </w:p>
    <w:p>
      <w:pPr>
        <w:pStyle w:val="ListBullet"/>
      </w:pPr>
      <w:r>
        <w:t>Environmental indemnity agreement</w:t>
      </w:r>
    </w:p>
    <w:p>
      <w:pPr>
        <w:pStyle w:val="ListBullet"/>
      </w:pPr>
      <w:r>
        <w:t>Occupancy covenants, minimum occupancy requirement</w:t>
      </w:r>
    </w:p>
    <w:p>
      <w:pPr>
        <w:pStyle w:val="Heading2"/>
      </w:pPr>
      <w:r>
        <w:t>CNI (Commercial &amp; Industrial)</w:t>
      </w:r>
    </w:p>
    <w:p>
      <w:r>
        <w:t>Commercial and industrial loan agreements, corporate credit agreements, borrowing base documents, and general business lending packages not primarily CRE or valuation.</w:t>
      </w:r>
    </w:p>
    <w:p/>
    <w:p>
      <w:r>
        <w:rPr>
          <w:b/>
        </w:rPr>
        <w:t>Strong Indicators:</w:t>
      </w:r>
    </w:p>
    <w:p>
      <w:pPr>
        <w:pStyle w:val="ListBullet"/>
      </w:pPr>
      <w:r>
        <w:t>Revolving and term loan mechanics</w:t>
      </w:r>
    </w:p>
    <w:p>
      <w:pPr>
        <w:pStyle w:val="ListBullet"/>
      </w:pPr>
      <w:r>
        <w:t>Corporate financial covenants</w:t>
      </w:r>
    </w:p>
    <w:p>
      <w:pPr>
        <w:pStyle w:val="ListBullet"/>
      </w:pPr>
      <w:r>
        <w:t>Borrower and guarantor corporate credit terms</w:t>
      </w:r>
    </w:p>
    <w:p>
      <w:pPr>
        <w:pStyle w:val="ListBullet"/>
      </w:pPr>
      <w:r>
        <w:t>Collateral structures not centered on real estate</w:t>
      </w:r>
    </w:p>
    <w:p>
      <w:pPr>
        <w:pStyle w:val="ListBullet"/>
      </w:pPr>
      <w:r>
        <w:t>Borrowing base calculations</w:t>
      </w:r>
    </w:p>
    <w:p>
      <w:pPr>
        <w:pStyle w:val="Heading2"/>
      </w:pPr>
      <w:r>
        <w:t>Other</w:t>
      </w:r>
    </w:p>
    <w:p>
      <w:r>
        <w:t>Documents that do not clearly fall into CRE, CNI, or Valuation. These are automatically flagged for human intervention with no extraction performed.</w:t>
      </w:r>
    </w:p>
    <w:p>
      <w:r>
        <w:br w:type="page"/>
      </w:r>
    </w:p>
    <w:p>
      <w:pPr>
        <w:pStyle w:val="Heading1"/>
      </w:pPr>
      <w:r>
        <w:t>10. End-to-End Flow Diagram</w:t>
      </w:r>
    </w:p>
    <w:p>
      <w:r>
        <w:t>The following describes the complete processing pipeline from document upload to final storage:</w:t>
      </w:r>
    </w:p>
    <w:p>
      <w:r>
        <w:rPr>
          <w:b/>
        </w:rPr>
        <w:t xml:space="preserve">Step 1: Upload: </w:t>
      </w:r>
      <w:r>
        <w:t>Document is uploaded to Azure Blob Storage (genpact/incoming-documents/)</w:t>
      </w:r>
    </w:p>
    <w:p>
      <w:r>
        <w:rPr>
          <w:b/>
        </w:rPr>
        <w:t xml:space="preserve">Step 2: Trigger: </w:t>
      </w:r>
      <w:r>
        <w:t>Azure Function is automatically triggered by the blob upload event</w:t>
      </w:r>
    </w:p>
    <w:p>
      <w:r>
        <w:rPr>
          <w:b/>
        </w:rPr>
        <w:t xml:space="preserve">Step 3: Classify: </w:t>
      </w:r>
      <w:r>
        <w:t>Document is submitted to Azure Content Understanding classifier API</w:t>
      </w:r>
    </w:p>
    <w:p>
      <w:r>
        <w:rPr>
          <w:b/>
        </w:rPr>
        <w:t xml:space="preserve">Step 4: Parse Results: </w:t>
      </w:r>
      <w:r>
        <w:t>Classification returns category (CRE/CNI/Valuation/Other) + native confidence per segment</w:t>
      </w:r>
    </w:p>
    <w:p>
      <w:r>
        <w:rPr>
          <w:b/>
        </w:rPr>
        <w:t xml:space="preserve">Step 5: GPT Validation: </w:t>
      </w:r>
      <w:r>
        <w:t>GPT-4.1 validates each segment's classification by analyzing document indicators</w:t>
      </w:r>
    </w:p>
    <w:p>
      <w:r>
        <w:rPr>
          <w:b/>
        </w:rPr>
        <w:t xml:space="preserve">Step 6: Confidence Gate: </w:t>
      </w:r>
      <w:r>
        <w:t>If GPT score ≥ 70%: proceed | If &lt; 70% or "Other": flag for human intervention</w:t>
      </w:r>
    </w:p>
    <w:p>
      <w:r>
        <w:rPr>
          <w:b/>
        </w:rPr>
        <w:t xml:space="preserve">Step 7: Extract Fields: </w:t>
      </w:r>
      <w:r>
        <w:t>Document is sent to the appropriate extraction analyzer (per document type)</w:t>
      </w:r>
    </w:p>
    <w:p>
      <w:r>
        <w:rPr>
          <w:b/>
        </w:rPr>
        <w:t xml:space="preserve">Step 8: Parse &amp; Enrich: </w:t>
      </w:r>
      <w:r>
        <w:t>Raw extraction results are parsed into structured fields with citations and confidence</w:t>
      </w:r>
    </w:p>
    <w:p>
      <w:r>
        <w:rPr>
          <w:b/>
        </w:rPr>
        <w:t xml:space="preserve">Step 9: Save to DB: </w:t>
      </w:r>
      <w:r>
        <w:t>All fields and job metadata are persisted to Azure SQL Server</w:t>
      </w:r>
    </w:p>
    <w:p>
      <w:r>
        <w:rPr>
          <w:b/>
        </w:rPr>
        <w:t xml:space="preserve">Step 10: SME Assignment: </w:t>
      </w:r>
      <w:r>
        <w:t>If any field needs HITL review, document is assigned to an SME via round-robin</w:t>
      </w:r>
    </w:p>
    <w:p>
      <w:r>
        <w:rPr>
          <w:b/>
        </w:rPr>
        <w:t xml:space="preserve">Step 11: Route Blob: </w:t>
      </w:r>
      <w:r>
        <w:t>Document is moved from incoming-documents/ to the classified folder</w:t>
      </w:r>
    </w:p>
    <w:p>
      <w:r>
        <w:rPr>
          <w:b/>
        </w:rPr>
        <w:t xml:space="preserve">Step 12: Complete: </w:t>
      </w:r>
      <w:r>
        <w:t>Processing complete — full audit trail available in database</w:t>
      </w:r>
    </w:p>
    <w:p/>
    <w:p>
      <w:pPr>
        <w:pStyle w:val="Heading2"/>
      </w:pPr>
      <w:r>
        <w:t>Decision Points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Decision</w:t>
            </w:r>
          </w:p>
        </w:tc>
        <w:tc>
          <w:tcPr>
            <w:tcW w:type="dxa" w:w="2880"/>
          </w:tcPr>
          <w:p>
            <w:r>
              <w:t>Condition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</w:tr>
      <w:tr>
        <w:tc>
          <w:tcPr>
            <w:tcW w:type="dxa" w:w="2880"/>
          </w:tcPr>
          <w:p>
            <w:r>
              <w:t>Category = "Other"</w:t>
            </w:r>
          </w:p>
        </w:tc>
        <w:tc>
          <w:tcPr>
            <w:tcW w:type="dxa" w:w="2880"/>
          </w:tcPr>
          <w:p>
            <w:r>
              <w:t>Classifier assigns unknown category</w:t>
            </w:r>
          </w:p>
        </w:tc>
        <w:tc>
          <w:tcPr>
            <w:tcW w:type="dxa" w:w="2880"/>
          </w:tcPr>
          <w:p>
            <w:r>
              <w:t>Skip extraction → Human intervention</w:t>
            </w:r>
          </w:p>
        </w:tc>
      </w:tr>
      <w:tr>
        <w:tc>
          <w:tcPr>
            <w:tcW w:type="dxa" w:w="2880"/>
          </w:tcPr>
          <w:p>
            <w:r>
              <w:t>GPT Score &lt; 70%</w:t>
            </w:r>
          </w:p>
        </w:tc>
        <w:tc>
          <w:tcPr>
            <w:tcW w:type="dxa" w:w="2880"/>
          </w:tcPr>
          <w:p>
            <w:r>
              <w:t>Low confidence in classification</w:t>
            </w:r>
          </w:p>
        </w:tc>
        <w:tc>
          <w:tcPr>
            <w:tcW w:type="dxa" w:w="2880"/>
          </w:tcPr>
          <w:p>
            <w:r>
              <w:t>Skip extraction → Human intervention</w:t>
            </w:r>
          </w:p>
        </w:tc>
      </w:tr>
      <w:tr>
        <w:tc>
          <w:tcPr>
            <w:tcW w:type="dxa" w:w="2880"/>
          </w:tcPr>
          <w:p>
            <w:r>
              <w:t>Field Confidence &lt; 0.5</w:t>
            </w:r>
          </w:p>
        </w:tc>
        <w:tc>
          <w:tcPr>
            <w:tcW w:type="dxa" w:w="2880"/>
          </w:tcPr>
          <w:p>
            <w:r>
              <w:t>Extracted value uncertain</w:t>
            </w:r>
          </w:p>
        </w:tc>
        <w:tc>
          <w:tcPr>
            <w:tcW w:type="dxa" w:w="2880"/>
          </w:tcPr>
          <w:p>
            <w:r>
              <w:t>Flag field for HITL review, assign to SME</w:t>
            </w:r>
          </w:p>
        </w:tc>
      </w:tr>
    </w:tbl>
    <w:p>
      <w:r>
        <w:br w:type="page"/>
      </w:r>
    </w:p>
    <w:p>
      <w:pPr>
        <w:pStyle w:val="Heading1"/>
      </w:pPr>
      <w:r>
        <w:t>11. Technology Stack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Runtime</w:t>
            </w:r>
          </w:p>
        </w:tc>
        <w:tc>
          <w:tcPr>
            <w:tcW w:type="dxa" w:w="4320"/>
          </w:tcPr>
          <w:p>
            <w:r>
              <w:t>Azure Functions v4 (.NET 8 Isolated Worker)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Azure AI Content Understanding (API version 2025-11-01)</w:t>
            </w:r>
          </w:p>
        </w:tc>
      </w:tr>
      <w:tr>
        <w:tc>
          <w:tcPr>
            <w:tcW w:type="dxa" w:w="4320"/>
          </w:tcPr>
          <w:p>
            <w:r>
              <w:t>Confidence Scoring</w:t>
            </w:r>
          </w:p>
        </w:tc>
        <w:tc>
          <w:tcPr>
            <w:tcW w:type="dxa" w:w="4320"/>
          </w:tcPr>
          <w:p>
            <w:r>
              <w:t>Azure OpenAI GPT-4.1 (API version 2024-12-01-preview)</w:t>
            </w:r>
          </w:p>
        </w:tc>
      </w:tr>
      <w:tr>
        <w:tc>
          <w:tcPr>
            <w:tcW w:type="dxa" w:w="4320"/>
          </w:tcPr>
          <w:p>
            <w:r>
              <w:t>Storage</w:t>
            </w:r>
          </w:p>
        </w:tc>
        <w:tc>
          <w:tcPr>
            <w:tcW w:type="dxa" w:w="4320"/>
          </w:tcPr>
          <w:p>
            <w:r>
              <w:t>Azure Blob Storage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Azure SQL Server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 (Ocp-Apim-Subscription-Key)</w:t>
            </w:r>
          </w:p>
        </w:tc>
      </w:tr>
      <w:tr>
        <w:tc>
          <w:tcPr>
            <w:tcW w:type="dxa" w:w="4320"/>
          </w:tcPr>
          <w:p>
            <w:r>
              <w:t>Trigger</w:t>
            </w:r>
          </w:p>
        </w:tc>
        <w:tc>
          <w:tcPr>
            <w:tcW w:type="dxa" w:w="4320"/>
          </w:tcPr>
          <w:p>
            <w:r>
              <w:t>Blob Trigger (automatic on upload)</w:t>
            </w:r>
          </w:p>
        </w:tc>
      </w:tr>
      <w:tr>
        <w:tc>
          <w:tcPr>
            <w:tcW w:type="dxa" w:w="4320"/>
          </w:tcPr>
          <w:p>
            <w:r>
              <w:t>Language</w:t>
            </w:r>
          </w:p>
        </w:tc>
        <w:tc>
          <w:tcPr>
            <w:tcW w:type="dxa" w:w="4320"/>
          </w:tcPr>
          <w:p>
            <w:r>
              <w:t>C# 12 / .NET 8</w:t>
            </w:r>
          </w:p>
        </w:tc>
      </w:tr>
    </w:tbl>
    <w:p/>
    <w:p>
      <w:pPr>
        <w:pStyle w:val="Heading2"/>
      </w:pPr>
      <w:r>
        <w:t>Azure Resources</w:t>
      </w:r>
    </w:p>
    <w:p>
      <w:pPr>
        <w:pStyle w:val="ListBullet"/>
      </w:pPr>
      <w:r>
        <w:t>Azure AI Services (Content Understanding + OpenAI) — doc-classify-foundry.cognitiveservices.azure.com</w:t>
      </w:r>
    </w:p>
    <w:p>
      <w:pPr>
        <w:pStyle w:val="ListBullet"/>
      </w:pPr>
      <w:r>
        <w:t>Azure Storage Account — storagegenpactmvp2</w:t>
      </w:r>
    </w:p>
    <w:p>
      <w:pPr>
        <w:pStyle w:val="ListBullet"/>
      </w:pPr>
      <w:r>
        <w:t>Azure SQL Database — genpactpoc on docstream.database.windows.net</w:t>
      </w:r>
    </w:p>
    <w:p>
      <w:pPr>
        <w:pStyle w:val="ListBullet"/>
      </w:pPr>
      <w:r>
        <w:t>Azure Functions App — DocClassifyExtract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