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cs="Times New Roman"/>
        </w:rPr>
        <w:t>园区光伏预测研究问题的定向证据核查</w:t>
      </w:r>
    </w:p>
    <w:p>
      <w:pPr>
        <w:jc w:val="center"/>
      </w:pPr>
      <w:r>
        <w:rPr>
          <w:rFonts w:ascii="Times New Roman" w:hAnsi="Times New Roman" w:eastAsia="宋体" w:cs="Times New Roman"/>
        </w:rPr>
        <w:t>历史功率、真实天气预报与预测提前量｜R1_20261013</w:t>
      </w:r>
    </w:p>
    <w:p>
      <w:pPr>
        <w:jc w:val="center"/>
      </w:pPr>
      <w:r>
        <w:rPr>
          <w:rFonts w:ascii="Times New Roman" w:hAnsi="Times New Roman" w:eastAsia="宋体" w:cs="Times New Roman"/>
        </w:rPr>
        <w:t>核查日期：2026年10月13日（Asia/Shanghai）</w:t>
      </w:r>
    </w:p>
    <w:p>
      <w:pPr>
        <w:pStyle w:val="Heading1"/>
      </w:pPr>
      <w:r>
        <w:rPr>
          <w:rFonts w:ascii="Times New Roman" w:hAnsi="Times New Roman" w:eastAsia="宋体" w:cs="Times New Roman"/>
        </w:rPr>
        <w:t>1 核查结论</w:t>
      </w:r>
    </w:p>
    <w:p>
      <w:pPr>
        <w:ind w:firstLine="440"/>
      </w:pPr>
      <w:r>
        <w:rPr>
          <w:rFonts w:ascii="Times New Roman" w:hAnsi="Times New Roman" w:eastAsia="宋体" w:cs="Times New Roman"/>
        </w:rPr>
        <w:t>本轮结果不支持将“历史功率与预报信息的作用随提前量变化”“按天气分析信息贡献”或“SHAP与消融联合使用”直接作为首次提出的研究问题。相关研究已存在。本报告完成的是定向证据核查与候选问题收敛，没有证明某个主题在全球文献中不存在。</w:t>
      </w:r>
    </w:p>
    <w:p>
      <w:pPr>
        <w:ind w:firstLine="440"/>
      </w:pPr>
      <w:r>
        <w:rPr>
          <w:rFonts w:ascii="Times New Roman" w:hAnsi="Times New Roman" w:eastAsia="宋体" w:cs="Times New Roman"/>
        </w:rPr>
        <w:t>针对第二版综述中的H1—H3，应作以下调整：H1保留为待检验的条件关系，但不能以多时距历史/预报比较本身主张创新；H2需要具体到预报质量、版本年龄和信息可用性与天气的交互，而不仅是分季节绘图；H3应成为解释验证要求，进一步界定重训练对象、相关信息替代和独立测试条件。</w:t>
      </w:r>
    </w:p>
    <w:p>
      <w:pPr>
        <w:ind w:firstLine="440"/>
      </w:pPr>
      <w:r>
        <w:rPr>
          <w:rFonts w:ascii="Times New Roman" w:hAnsi="Times New Roman" w:eastAsia="宋体" w:cs="Times New Roman"/>
        </w:rPr>
        <w:t>更值得优先验证的候选问题是：在可审计的预报版本与信息到达规则下，预报年龄与预测提前量是否共同改变预报气象相对历史功率的条件增益；这种关系是否因天气和设备运行状态而改变，且能否由匹配目标的归因与信息组重训练结果相互印证？这个问题有已有文献基础，也有尚需补强的条件边界；其新颖性仍需补齐重点全文并结合实际数据确认。</w:t>
      </w:r>
    </w:p>
    <w:p>
      <w:pPr>
        <w:ind w:firstLine="440"/>
      </w:pPr>
      <w:r>
        <w:rPr>
          <w:rFonts w:ascii="Times New Roman" w:hAnsi="Times New Roman" w:eastAsia="宋体" w:cs="Times New Roman"/>
        </w:rPr>
        <w:t>本轮形成14条候选研究记录，其中6条核对了关键正文，7条以官方摘要或索引片段为主，1条的截至日版本时间尚未确认。关键正文包括作者稿和预印本，不等于14篇全部终刊全文已逐篇核验。具体记录见配套CSV，正文以下用P01—P14定位来源。</w:t>
      </w:r>
    </w:p>
    <w:p>
      <w:pPr>
        <w:pStyle w:val="Heading1"/>
      </w:pPr>
      <w:r>
        <w:rPr>
          <w:rFonts w:ascii="Times New Roman" w:hAnsi="Times New Roman" w:eastAsia="宋体" w:cs="Times New Roman"/>
        </w:rPr>
        <w:t>2 检索范围与判定规则</w:t>
      </w:r>
    </w:p>
    <w:p>
      <w:pPr>
        <w:ind w:firstLine="440"/>
      </w:pPr>
      <w:r>
        <w:rPr>
          <w:rFonts w:ascii="Times New Roman" w:hAnsi="Times New Roman" w:eastAsia="宋体" w:cs="Times New Roman"/>
        </w:rPr>
        <w:t>本轮实际执行21条公开网页检索式，覆盖中英文的历史功率、天气预报、预测提前量、预报年龄、消融、SHAP与解释忠实性；随后回查出版社、作者项目页、机构库及arXiv。配套检索记录CSV保留检索式和来源地址。本轮没有执行CNKI、万方或Web of Science的订阅数据库检索，不报告数据库覆盖率、完整命中数量或系统综述筛选流程。</w:t>
      </w:r>
    </w:p>
    <w:p>
      <w:pPr>
        <w:ind w:firstLine="440"/>
      </w:pPr>
      <w:r>
        <w:rPr>
          <w:rFonts w:ascii="Times New Roman" w:hAnsi="Times New Roman" w:eastAsia="宋体" w:cs="Times New Roman"/>
        </w:rPr>
        <w:t>优先纳入能直接帮助判断以下关系的研究：真实或归档预报与历史功率的对照，信息作用随提前量变化，天气/季节或预报年龄的条件变化，解释与消融的对应。综述用于追踪原始研究；只有题录或时间版本不明的线索单独标记。辐照度预测、虚拟功率、实测电量与园区交流功率属于不同任务，不直接横向比较误差数字。</w:t>
      </w:r>
    </w:p>
    <w:p>
      <w:pPr>
        <w:ind w:firstLine="440"/>
      </w:pPr>
      <w:r>
        <w:rPr>
          <w:rFonts w:ascii="Times New Roman" w:hAnsi="Times New Roman" w:eastAsia="宋体" w:cs="Times New Roman"/>
        </w:rPr>
        <w:t>证据级别定义为：T，已核对与判断相关的正文段落或表格，可来自完整页面、作者稿或出版社索引正文；S，主要依据官方摘要、题录或局部索引，全文协议尚不明确；U，来源或日期版本尚未确认。T不等于论文质量评级，也不等于全部结果已复现。对于“是否没有某项实验”，除作者明确说明外，正文未定位到的项目仍标为尚不能判断。</w:t>
      </w:r>
    </w:p>
    <w:p>
      <w:pPr>
        <w:ind w:firstLine="440"/>
      </w:pPr>
      <w:r>
        <w:rPr>
          <w:rFonts w:ascii="Times New Roman" w:hAnsi="Times New Roman" w:eastAsia="宋体" w:cs="Times New Roman"/>
        </w:rPr>
        <w:t>判定分为已回答、部分回答、尚不能判断。访问失败、摘要没写和少数检索无命中均不能作为“未研究”的证据；某一篇论文有局限也不能证明其他论文未解决它。若已有研究完成相同问题与足够相近的验证，则调整研究定位；若差异只在地点或模型名称，应说明这是适用性验证，不能自动升级为方法创新。</w:t>
      </w:r>
    </w:p>
    <w:p>
      <w:pPr>
        <w:pStyle w:val="Heading1"/>
      </w:pPr>
      <w:r>
        <w:rPr>
          <w:rFonts w:ascii="Times New Roman" w:hAnsi="Times New Roman" w:eastAsia="宋体" w:cs="Times New Roman"/>
        </w:rPr>
        <w:t>3 核心记录与可定位证据</w:t>
      </w:r>
    </w:p>
    <w:p>
      <w:pPr>
        <w:pStyle w:val="Heading2"/>
      </w:pPr>
      <w:r>
        <w:rPr>
          <w:rFonts w:ascii="Times New Roman" w:hAnsi="Times New Roman" w:eastAsia="宋体" w:cs="Times New Roman"/>
        </w:rPr>
        <w:t>3.1 信息融合、提前量与输入真实性</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编号</w:t>
            </w:r>
          </w:p>
        </w:tc>
        <w:tc>
          <w:tcPr>
            <w:tcW w:type="dxa" w:w="2324"/>
            <w:vAlign w:val="center"/>
            <w:shd w:fill="E8EFF7"/>
          </w:tcPr>
          <w:p>
            <w:pPr>
              <w:spacing w:line="276" w:lineRule="auto" w:after="80" w:before="80"/>
            </w:pPr>
            <w:r>
              <w:rPr>
                <w:rFonts w:ascii="Times New Roman" w:hAnsi="Times New Roman" w:eastAsia="宋体" w:cs="Times New Roman"/>
                <w:b/>
                <w:sz w:val="18"/>
              </w:rPr>
              <w:t>来源及材料</w:t>
            </w:r>
          </w:p>
        </w:tc>
        <w:tc>
          <w:tcPr>
            <w:tcW w:type="dxa" w:w="2608"/>
            <w:vAlign w:val="center"/>
            <w:shd w:fill="E8EFF7"/>
          </w:tcPr>
          <w:p>
            <w:pPr>
              <w:spacing w:line="276" w:lineRule="auto" w:after="80" w:before="80"/>
            </w:pPr>
            <w:r>
              <w:rPr>
                <w:rFonts w:ascii="Times New Roman" w:hAnsi="Times New Roman" w:eastAsia="宋体" w:cs="Times New Roman"/>
                <w:b/>
                <w:sz w:val="18"/>
              </w:rPr>
              <w:t>能确认的内容</w:t>
            </w:r>
          </w:p>
        </w:tc>
        <w:tc>
          <w:tcPr>
            <w:tcW w:type="dxa" w:w="2608"/>
            <w:vAlign w:val="center"/>
            <w:shd w:fill="E8EFF7"/>
          </w:tcPr>
          <w:p>
            <w:pPr>
              <w:spacing w:line="276" w:lineRule="auto" w:after="80" w:before="80"/>
            </w:pPr>
            <w:r>
              <w:rPr>
                <w:rFonts w:ascii="Times New Roman" w:hAnsi="Times New Roman" w:eastAsia="宋体" w:cs="Times New Roman"/>
                <w:b/>
                <w:sz w:val="18"/>
              </w:rPr>
              <w:t>判断边界</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P01</w:t>
            </w:r>
          </w:p>
        </w:tc>
        <w:tc>
          <w:tcPr>
            <w:tcW w:type="dxa" w:w="2324"/>
            <w:vAlign w:val="center"/>
          </w:tcPr>
          <w:p>
            <w:pPr>
              <w:spacing w:line="276" w:lineRule="auto" w:after="80" w:before="80"/>
            </w:pPr>
            <w:r>
              <w:rPr>
                <w:rFonts w:ascii="Times New Roman" w:hAnsi="Times New Roman" w:eastAsia="宋体" w:cs="Times New Roman"/>
                <w:b w:val="0"/>
                <w:sz w:val="18"/>
              </w:rPr>
              <w:t>Zhang等，2026，T</w:t>
            </w:r>
          </w:p>
        </w:tc>
        <w:tc>
          <w:tcPr>
            <w:tcW w:type="dxa" w:w="2608"/>
            <w:vAlign w:val="center"/>
          </w:tcPr>
          <w:p>
            <w:pPr>
              <w:spacing w:line="276" w:lineRule="auto" w:after="80" w:before="80"/>
            </w:pPr>
            <w:r>
              <w:rPr>
                <w:rFonts w:ascii="Times New Roman" w:hAnsi="Times New Roman" w:eastAsia="宋体" w:cs="Times New Roman"/>
                <w:b w:val="0"/>
                <w:sz w:val="18"/>
              </w:rPr>
              <w:t>历史与前向信息、多时距比较；有仅历史输入变体</w:t>
            </w:r>
          </w:p>
        </w:tc>
        <w:tc>
          <w:tcPr>
            <w:tcW w:type="dxa" w:w="2608"/>
            <w:vAlign w:val="center"/>
          </w:tcPr>
          <w:p>
            <w:pPr>
              <w:spacing w:line="276" w:lineRule="auto" w:after="80" w:before="80"/>
            </w:pPr>
            <w:r>
              <w:rPr>
                <w:rFonts w:ascii="Times New Roman" w:hAnsi="Times New Roman" w:eastAsia="宋体" w:cs="Times New Roman"/>
                <w:b w:val="0"/>
                <w:sz w:val="18"/>
              </w:rPr>
              <w:t>模块消融与完整信息组贡献检验需区分</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P02</w:t>
            </w:r>
          </w:p>
        </w:tc>
        <w:tc>
          <w:tcPr>
            <w:tcW w:type="dxa" w:w="2324"/>
            <w:vAlign w:val="center"/>
          </w:tcPr>
          <w:p>
            <w:pPr>
              <w:spacing w:line="276" w:lineRule="auto" w:after="80" w:before="80"/>
            </w:pPr>
            <w:r>
              <w:rPr>
                <w:rFonts w:ascii="Times New Roman" w:hAnsi="Times New Roman" w:eastAsia="宋体" w:cs="Times New Roman"/>
                <w:b w:val="0"/>
                <w:sz w:val="18"/>
              </w:rPr>
              <w:t>SolarPredictor作者稿，T</w:t>
            </w:r>
          </w:p>
        </w:tc>
        <w:tc>
          <w:tcPr>
            <w:tcW w:type="dxa" w:w="2608"/>
            <w:vAlign w:val="center"/>
          </w:tcPr>
          <w:p>
            <w:pPr>
              <w:spacing w:line="276" w:lineRule="auto" w:after="80" w:before="80"/>
            </w:pPr>
            <w:r>
              <w:rPr>
                <w:rFonts w:ascii="Times New Roman" w:hAnsi="Times New Roman" w:eastAsia="宋体" w:cs="Times New Roman"/>
                <w:b w:val="0"/>
                <w:sz w:val="18"/>
              </w:rPr>
              <w:t>预报年龄、天气与输入长度消融已出现</w:t>
            </w:r>
          </w:p>
        </w:tc>
        <w:tc>
          <w:tcPr>
            <w:tcW w:type="dxa" w:w="2608"/>
            <w:vAlign w:val="center"/>
          </w:tcPr>
          <w:p>
            <w:pPr>
              <w:spacing w:line="276" w:lineRule="auto" w:after="80" w:before="80"/>
            </w:pPr>
            <w:r>
              <w:rPr>
                <w:rFonts w:ascii="Times New Roman" w:hAnsi="Times New Roman" w:eastAsia="宋体" w:cs="Times New Roman"/>
                <w:b w:val="0"/>
                <w:sz w:val="18"/>
              </w:rPr>
              <w:t>作者稿与终刊版本不能混用</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P03</w:t>
            </w:r>
          </w:p>
        </w:tc>
        <w:tc>
          <w:tcPr>
            <w:tcW w:type="dxa" w:w="2324"/>
            <w:vAlign w:val="center"/>
          </w:tcPr>
          <w:p>
            <w:pPr>
              <w:spacing w:line="276" w:lineRule="auto" w:after="80" w:before="80"/>
            </w:pPr>
            <w:r>
              <w:rPr>
                <w:rFonts w:ascii="Times New Roman" w:hAnsi="Times New Roman" w:eastAsia="宋体" w:cs="Times New Roman"/>
                <w:b w:val="0"/>
                <w:sz w:val="18"/>
              </w:rPr>
              <w:t>Xu等，2026预印本，T</w:t>
            </w:r>
          </w:p>
        </w:tc>
        <w:tc>
          <w:tcPr>
            <w:tcW w:type="dxa" w:w="2608"/>
            <w:vAlign w:val="center"/>
          </w:tcPr>
          <w:p>
            <w:pPr>
              <w:spacing w:line="276" w:lineRule="auto" w:after="80" w:before="80"/>
            </w:pPr>
            <w:r>
              <w:rPr>
                <w:rFonts w:ascii="Times New Roman" w:hAnsi="Times New Roman" w:eastAsia="宋体" w:cs="Times New Roman"/>
                <w:b w:val="0"/>
                <w:sz w:val="18"/>
              </w:rPr>
              <w:t>归档NWP、逐时距融合、删除专家后重拟合</w:t>
            </w:r>
          </w:p>
        </w:tc>
        <w:tc>
          <w:tcPr>
            <w:tcW w:type="dxa" w:w="2608"/>
            <w:vAlign w:val="center"/>
          </w:tcPr>
          <w:p>
            <w:pPr>
              <w:spacing w:line="276" w:lineRule="auto" w:after="80" w:before="80"/>
            </w:pPr>
            <w:r>
              <w:rPr>
                <w:rFonts w:ascii="Times New Roman" w:hAnsi="Times New Roman" w:eastAsia="宋体" w:cs="Times New Roman"/>
                <w:b w:val="0"/>
                <w:sz w:val="18"/>
              </w:rPr>
              <w:t>专家移除不等于原始信息组重训练</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P04</w:t>
            </w:r>
          </w:p>
        </w:tc>
        <w:tc>
          <w:tcPr>
            <w:tcW w:type="dxa" w:w="2324"/>
            <w:vAlign w:val="center"/>
          </w:tcPr>
          <w:p>
            <w:pPr>
              <w:spacing w:line="276" w:lineRule="auto" w:after="80" w:before="80"/>
            </w:pPr>
            <w:r>
              <w:rPr>
                <w:rFonts w:ascii="Times New Roman" w:hAnsi="Times New Roman" w:eastAsia="宋体" w:cs="Times New Roman"/>
                <w:b w:val="0"/>
                <w:sz w:val="18"/>
              </w:rPr>
              <w:t>Chen等，2026预印本，T</w:t>
            </w:r>
          </w:p>
        </w:tc>
        <w:tc>
          <w:tcPr>
            <w:tcW w:type="dxa" w:w="2608"/>
            <w:vAlign w:val="center"/>
          </w:tcPr>
          <w:p>
            <w:pPr>
              <w:spacing w:line="276" w:lineRule="auto" w:after="80" w:before="80"/>
            </w:pPr>
            <w:r>
              <w:rPr>
                <w:rFonts w:ascii="Times New Roman" w:hAnsi="Times New Roman" w:eastAsia="宋体" w:cs="Times New Roman"/>
                <w:b w:val="0"/>
                <w:sz w:val="18"/>
              </w:rPr>
              <w:t>输入误差、提前量及模型依赖转移</w:t>
            </w:r>
          </w:p>
        </w:tc>
        <w:tc>
          <w:tcPr>
            <w:tcW w:type="dxa" w:w="2608"/>
            <w:vAlign w:val="center"/>
          </w:tcPr>
          <w:p>
            <w:pPr>
              <w:spacing w:line="276" w:lineRule="auto" w:after="80" w:before="80"/>
            </w:pPr>
            <w:r>
              <w:rPr>
                <w:rFonts w:ascii="Times New Roman" w:hAnsi="Times New Roman" w:eastAsia="宋体" w:cs="Times New Roman"/>
                <w:b w:val="0"/>
                <w:sz w:val="18"/>
              </w:rPr>
              <w:t>虚拟功率与实际园区运行不同</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P05</w:t>
            </w:r>
          </w:p>
        </w:tc>
        <w:tc>
          <w:tcPr>
            <w:tcW w:type="dxa" w:w="2324"/>
            <w:vAlign w:val="center"/>
          </w:tcPr>
          <w:p>
            <w:pPr>
              <w:spacing w:line="276" w:lineRule="auto" w:after="80" w:before="80"/>
            </w:pPr>
            <w:r>
              <w:rPr>
                <w:rFonts w:ascii="Times New Roman" w:hAnsi="Times New Roman" w:eastAsia="宋体" w:cs="Times New Roman"/>
                <w:b w:val="0"/>
                <w:sz w:val="18"/>
              </w:rPr>
              <w:t>高寒旭等，2024，S</w:t>
            </w:r>
          </w:p>
        </w:tc>
        <w:tc>
          <w:tcPr>
            <w:tcW w:type="dxa" w:w="2608"/>
            <w:vAlign w:val="center"/>
          </w:tcPr>
          <w:p>
            <w:pPr>
              <w:spacing w:line="276" w:lineRule="auto" w:after="80" w:before="80"/>
            </w:pPr>
            <w:r>
              <w:rPr>
                <w:rFonts w:ascii="Times New Roman" w:hAnsi="Times New Roman" w:eastAsia="宋体" w:cs="Times New Roman"/>
                <w:b w:val="0"/>
                <w:sz w:val="18"/>
              </w:rPr>
              <w:t>中文研究直接比较功率与业务预报输入</w:t>
            </w:r>
          </w:p>
        </w:tc>
        <w:tc>
          <w:tcPr>
            <w:tcW w:type="dxa" w:w="2608"/>
            <w:vAlign w:val="center"/>
          </w:tcPr>
          <w:p>
            <w:pPr>
              <w:spacing w:line="276" w:lineRule="auto" w:after="80" w:before="80"/>
            </w:pPr>
            <w:r>
              <w:rPr>
                <w:rFonts w:ascii="Times New Roman" w:hAnsi="Times New Roman" w:eastAsia="宋体" w:cs="Times New Roman"/>
                <w:b w:val="0"/>
                <w:sz w:val="18"/>
              </w:rPr>
              <w:t>精确时距及到达规则须核对全文</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P06</w:t>
            </w:r>
          </w:p>
        </w:tc>
        <w:tc>
          <w:tcPr>
            <w:tcW w:type="dxa" w:w="2324"/>
            <w:vAlign w:val="center"/>
          </w:tcPr>
          <w:p>
            <w:pPr>
              <w:spacing w:line="276" w:lineRule="auto" w:after="80" w:before="80"/>
            </w:pPr>
            <w:r>
              <w:rPr>
                <w:rFonts w:ascii="Times New Roman" w:hAnsi="Times New Roman" w:eastAsia="宋体" w:cs="Times New Roman"/>
                <w:b w:val="0"/>
                <w:sz w:val="18"/>
              </w:rPr>
              <w:t>Bellinguer等，2022，S</w:t>
            </w:r>
          </w:p>
        </w:tc>
        <w:tc>
          <w:tcPr>
            <w:tcW w:type="dxa" w:w="2608"/>
            <w:vAlign w:val="center"/>
          </w:tcPr>
          <w:p>
            <w:pPr>
              <w:spacing w:line="276" w:lineRule="auto" w:after="80" w:before="80"/>
            </w:pPr>
            <w:r>
              <w:rPr>
                <w:rFonts w:ascii="Times New Roman" w:hAnsi="Times New Roman" w:eastAsia="宋体" w:cs="Times New Roman"/>
                <w:b w:val="0"/>
                <w:sz w:val="18"/>
              </w:rPr>
              <w:t>天气融合及天气状态条件化已有基础</w:t>
            </w:r>
          </w:p>
        </w:tc>
        <w:tc>
          <w:tcPr>
            <w:tcW w:type="dxa" w:w="2608"/>
            <w:vAlign w:val="center"/>
          </w:tcPr>
          <w:p>
            <w:pPr>
              <w:spacing w:line="276" w:lineRule="auto" w:after="80" w:before="80"/>
            </w:pPr>
            <w:r>
              <w:rPr>
                <w:rFonts w:ascii="Times New Roman" w:hAnsi="Times New Roman" w:eastAsia="宋体" w:cs="Times New Roman"/>
                <w:b w:val="0"/>
                <w:sz w:val="18"/>
              </w:rPr>
              <w:t>具体实验协议仍待正文核对</w:t>
            </w:r>
          </w:p>
        </w:tc>
      </w:tr>
    </w:tbl>
    <w:p>
      <w:pPr>
        <w:spacing w:after="0"/>
      </w:pPr>
    </w:p>
    <w:p>
      <w:pPr>
        <w:ind w:firstLine="440"/>
      </w:pPr>
      <w:r>
        <w:rPr>
          <w:rFonts w:ascii="Times New Roman" w:hAnsi="Times New Roman" w:eastAsia="宋体" w:cs="Times New Roman"/>
        </w:rPr>
        <w:t>P01：出版社索引正文包含仅历史输入与增加前向输入的变体，定位于Methods的数据划分/输入说明、Fig.3及Supplementary Note3；Fig.8的模块消融不能混称为全部信息组消融。其数据条件仍需区分预报和卫星观测上界。</w:t>
      </w:r>
      <w:hyperlink r:id="rId11">
        <w:r>
          <w:rPr>
            <w:rFonts w:ascii="Times New Roman" w:hAnsi="Times New Roman" w:eastAsia="宋体" w:cs="Times New Roman"/>
            <w:color w:val="0563C1"/>
            <w:u w:val="single"/>
          </w:rPr>
          <w:t>原始来源</w:t>
        </w:r>
      </w:hyperlink>
      <w:r>
        <w:rPr>
          <w:rFonts w:ascii="Times New Roman" w:hAnsi="Times New Roman" w:eastAsia="宋体" w:cs="Times New Roman"/>
        </w:rPr>
      </w:r>
    </w:p>
    <w:p>
      <w:pPr>
        <w:ind w:firstLine="440"/>
      </w:pPr>
      <w:r>
        <w:rPr>
          <w:rFonts w:ascii="Times New Roman" w:hAnsi="Times New Roman" w:eastAsia="宋体" w:cs="Times New Roman"/>
        </w:rPr>
        <w:t>P02：本轮作者稿§5.4的Tables6—8已有天气预报年龄和输入长度对照，并报告晴天/阴天结果。作者稿标题和部分实验表述与项目页终刊摘要不同，因此只用来确认已有相关设计，不直接搬用数值作为终刊结论。</w:t>
      </w:r>
      <w:hyperlink r:id="rId12">
        <w:r>
          <w:rPr>
            <w:rFonts w:ascii="Times New Roman" w:hAnsi="Times New Roman" w:eastAsia="宋体" w:cs="Times New Roman"/>
            <w:color w:val="0563C1"/>
            <w:u w:val="single"/>
          </w:rPr>
          <w:t>作者稿</w:t>
        </w:r>
      </w:hyperlink>
      <w:r>
        <w:rPr>
          <w:rFonts w:ascii="Times New Roman" w:hAnsi="Times New Roman" w:eastAsia="宋体" w:cs="Times New Roman"/>
        </w:rPr>
      </w:r>
    </w:p>
    <w:p>
      <w:pPr>
        <w:ind w:firstLine="440"/>
      </w:pPr>
      <w:r>
        <w:rPr>
          <w:rFonts w:ascii="Times New Roman" w:hAnsi="Times New Roman" w:eastAsia="宋体" w:cs="Times New Roman"/>
        </w:rPr>
        <w:t>P03：§6.9明确说明实际接收记录未知，并提出需要单独的气象信息组重拟合。该文的Table5是专家删除后重拟合融合权重。两者的区别提供具体核查入口；预印本不能据其Journal字段自动记作正式期刊论文。</w:t>
      </w:r>
      <w:hyperlink r:id="rId13">
        <w:r>
          <w:rPr>
            <w:rFonts w:ascii="Times New Roman" w:hAnsi="Times New Roman" w:eastAsia="宋体" w:cs="Times New Roman"/>
            <w:color w:val="0563C1"/>
            <w:u w:val="single"/>
          </w:rPr>
          <w:t>预印本正文</w:t>
        </w:r>
      </w:hyperlink>
      <w:r>
        <w:rPr>
          <w:rFonts w:ascii="Times New Roman" w:hAnsi="Times New Roman" w:eastAsia="宋体" w:cs="Times New Roman"/>
        </w:rPr>
      </w:r>
    </w:p>
    <w:p>
      <w:pPr>
        <w:ind w:firstLine="440"/>
      </w:pPr>
      <w:r>
        <w:rPr>
          <w:rFonts w:ascii="Times New Roman" w:hAnsi="Times New Roman" w:eastAsia="宋体" w:cs="Times New Roman"/>
        </w:rPr>
        <w:t>P04：§2使用虚拟功率和物理约束的预报代理扰动，§3与§5分析提前量和归因变化。它支持有关输入误差下信息依赖变化的已有基础，不能直接证实真实设备状态下相同关系。</w:t>
      </w:r>
      <w:hyperlink r:id="rId14">
        <w:r>
          <w:rPr>
            <w:rFonts w:ascii="Times New Roman" w:hAnsi="Times New Roman" w:eastAsia="宋体" w:cs="Times New Roman"/>
            <w:color w:val="0563C1"/>
            <w:u w:val="single"/>
          </w:rPr>
          <w:t>预印本正文</w:t>
        </w:r>
      </w:hyperlink>
      <w:r>
        <w:rPr>
          <w:rFonts w:ascii="Times New Roman" w:hAnsi="Times New Roman" w:eastAsia="宋体" w:cs="Times New Roman"/>
        </w:rPr>
      </w:r>
    </w:p>
    <w:p>
      <w:pPr>
        <w:ind w:firstLine="440"/>
      </w:pPr>
      <w:r>
        <w:rPr>
          <w:rFonts w:ascii="Times New Roman" w:hAnsi="Times New Roman" w:eastAsia="宋体" w:cs="Times New Roman"/>
        </w:rPr>
        <w:t>P05与P06分别提供业务预报对照和天气条件化学习的背景证据；仅靠当前材料，不能判断它们是否实施了本研究拟定的完整交互和信息组重训练协议。</w:t>
      </w:r>
      <w:hyperlink r:id="rId15">
        <w:r>
          <w:rPr>
            <w:rFonts w:ascii="Times New Roman" w:hAnsi="Times New Roman" w:eastAsia="宋体" w:cs="Times New Roman"/>
            <w:color w:val="0563C1"/>
            <w:u w:val="single"/>
          </w:rPr>
          <w:t>中文官方摘要</w:t>
        </w:r>
      </w:hyperlink>
      <w:r>
        <w:rPr>
          <w:rFonts w:ascii="Times New Roman" w:hAnsi="Times New Roman" w:eastAsia="宋体" w:cs="Times New Roman"/>
        </w:rPr>
        <w:t>，</w:t>
      </w:r>
      <w:hyperlink r:id="rId16">
        <w:r>
          <w:rPr>
            <w:rFonts w:ascii="Times New Roman" w:hAnsi="Times New Roman" w:eastAsia="宋体" w:cs="Times New Roman"/>
            <w:color w:val="0563C1"/>
            <w:u w:val="single"/>
          </w:rPr>
          <w:t>天气融合研究</w:t>
        </w:r>
      </w:hyperlink>
      <w:r>
        <w:rPr>
          <w:rFonts w:ascii="Times New Roman" w:hAnsi="Times New Roman" w:eastAsia="宋体" w:cs="Times New Roman"/>
        </w:rPr>
      </w:r>
    </w:p>
    <w:p>
      <w:pPr>
        <w:pStyle w:val="Heading2"/>
      </w:pPr>
      <w:r>
        <w:rPr>
          <w:rFonts w:ascii="Times New Roman" w:hAnsi="Times New Roman" w:eastAsia="宋体" w:cs="Times New Roman"/>
        </w:rPr>
        <w:t>3.2 解释、分组消融与其余竞争性线索</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编号</w:t>
            </w:r>
          </w:p>
        </w:tc>
        <w:tc>
          <w:tcPr>
            <w:tcW w:type="dxa" w:w="2324"/>
            <w:vAlign w:val="center"/>
            <w:shd w:fill="E8EFF7"/>
          </w:tcPr>
          <w:p>
            <w:pPr>
              <w:spacing w:line="276" w:lineRule="auto" w:after="80" w:before="80"/>
            </w:pPr>
            <w:r>
              <w:rPr>
                <w:rFonts w:ascii="Times New Roman" w:hAnsi="Times New Roman" w:eastAsia="宋体" w:cs="Times New Roman"/>
                <w:b/>
                <w:sz w:val="18"/>
              </w:rPr>
              <w:t>来源及证据级别</w:t>
            </w:r>
          </w:p>
        </w:tc>
        <w:tc>
          <w:tcPr>
            <w:tcW w:type="dxa" w:w="2608"/>
            <w:vAlign w:val="center"/>
            <w:shd w:fill="E8EFF7"/>
          </w:tcPr>
          <w:p>
            <w:pPr>
              <w:spacing w:line="276" w:lineRule="auto" w:after="80" w:before="80"/>
            </w:pPr>
            <w:r>
              <w:rPr>
                <w:rFonts w:ascii="Times New Roman" w:hAnsi="Times New Roman" w:eastAsia="宋体" w:cs="Times New Roman"/>
                <w:b/>
                <w:sz w:val="18"/>
              </w:rPr>
              <w:t>与候选问题的交集</w:t>
            </w:r>
          </w:p>
        </w:tc>
        <w:tc>
          <w:tcPr>
            <w:tcW w:type="dxa" w:w="2608"/>
            <w:vAlign w:val="center"/>
            <w:shd w:fill="E8EFF7"/>
          </w:tcPr>
          <w:p>
            <w:pPr>
              <w:spacing w:line="276" w:lineRule="auto" w:after="80" w:before="80"/>
            </w:pPr>
            <w:r>
              <w:rPr>
                <w:rFonts w:ascii="Times New Roman" w:hAnsi="Times New Roman" w:eastAsia="宋体" w:cs="Times New Roman"/>
                <w:b/>
                <w:sz w:val="18"/>
              </w:rPr>
              <w:t>当前状态</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P07</w:t>
            </w:r>
          </w:p>
        </w:tc>
        <w:tc>
          <w:tcPr>
            <w:tcW w:type="dxa" w:w="2324"/>
            <w:vAlign w:val="center"/>
          </w:tcPr>
          <w:p>
            <w:pPr>
              <w:spacing w:line="276" w:lineRule="auto" w:after="80" w:before="80"/>
            </w:pPr>
            <w:r>
              <w:rPr>
                <w:rFonts w:ascii="Times New Roman" w:hAnsi="Times New Roman" w:eastAsia="宋体" w:cs="Times New Roman"/>
                <w:b w:val="0"/>
                <w:sz w:val="18"/>
              </w:rPr>
              <w:t>多时距风光特征工程研究，S</w:t>
            </w:r>
          </w:p>
        </w:tc>
        <w:tc>
          <w:tcPr>
            <w:tcW w:type="dxa" w:w="2608"/>
            <w:vAlign w:val="center"/>
          </w:tcPr>
          <w:p>
            <w:pPr>
              <w:spacing w:line="276" w:lineRule="auto" w:after="80" w:before="80"/>
            </w:pPr>
            <w:r>
              <w:rPr>
                <w:rFonts w:ascii="Times New Roman" w:hAnsi="Times New Roman" w:eastAsia="宋体" w:cs="Times New Roman"/>
                <w:b w:val="0"/>
                <w:sz w:val="18"/>
              </w:rPr>
              <w:t>多提前量及历史特征组消融</w:t>
            </w:r>
          </w:p>
        </w:tc>
        <w:tc>
          <w:tcPr>
            <w:tcW w:type="dxa" w:w="2608"/>
            <w:vAlign w:val="center"/>
          </w:tcPr>
          <w:p>
            <w:pPr>
              <w:spacing w:line="276" w:lineRule="auto" w:after="80" w:before="80"/>
            </w:pPr>
            <w:r>
              <w:rPr>
                <w:rFonts w:ascii="Times New Roman" w:hAnsi="Times New Roman" w:eastAsia="宋体" w:cs="Times New Roman"/>
                <w:b w:val="0"/>
                <w:sz w:val="18"/>
              </w:rPr>
              <w:t>未确认实际NWP档案，须核数据口径</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P08</w:t>
            </w:r>
          </w:p>
        </w:tc>
        <w:tc>
          <w:tcPr>
            <w:tcW w:type="dxa" w:w="2324"/>
            <w:vAlign w:val="center"/>
          </w:tcPr>
          <w:p>
            <w:pPr>
              <w:spacing w:line="276" w:lineRule="auto" w:after="80" w:before="80"/>
            </w:pPr>
            <w:r>
              <w:rPr>
                <w:rFonts w:ascii="Times New Roman" w:hAnsi="Times New Roman" w:eastAsia="宋体" w:cs="Times New Roman"/>
                <w:b w:val="0"/>
                <w:sz w:val="18"/>
              </w:rPr>
              <w:t>Physics-as-a-layer，S</w:t>
            </w:r>
          </w:p>
        </w:tc>
        <w:tc>
          <w:tcPr>
            <w:tcW w:type="dxa" w:w="2608"/>
            <w:vAlign w:val="center"/>
          </w:tcPr>
          <w:p>
            <w:pPr>
              <w:spacing w:line="276" w:lineRule="auto" w:after="80" w:before="80"/>
            </w:pPr>
            <w:r>
              <w:rPr>
                <w:rFonts w:ascii="Times New Roman" w:hAnsi="Times New Roman" w:eastAsia="宋体" w:cs="Times New Roman"/>
                <w:b w:val="0"/>
                <w:sz w:val="18"/>
              </w:rPr>
              <w:t>NWP、分层评价与输入损坏鲁棒性</w:t>
            </w:r>
          </w:p>
        </w:tc>
        <w:tc>
          <w:tcPr>
            <w:tcW w:type="dxa" w:w="2608"/>
            <w:vAlign w:val="center"/>
          </w:tcPr>
          <w:p>
            <w:pPr>
              <w:spacing w:line="276" w:lineRule="auto" w:after="80" w:before="80"/>
            </w:pPr>
            <w:r>
              <w:rPr>
                <w:rFonts w:ascii="Times New Roman" w:hAnsi="Times New Roman" w:eastAsia="宋体" w:cs="Times New Roman"/>
                <w:b w:val="0"/>
                <w:sz w:val="18"/>
              </w:rPr>
              <w:t>全文协议待核，不能认定未研究</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P09</w:t>
            </w:r>
          </w:p>
        </w:tc>
        <w:tc>
          <w:tcPr>
            <w:tcW w:type="dxa" w:w="2324"/>
            <w:vAlign w:val="center"/>
          </w:tcPr>
          <w:p>
            <w:pPr>
              <w:spacing w:line="276" w:lineRule="auto" w:after="80" w:before="80"/>
            </w:pPr>
            <w:r>
              <w:rPr>
                <w:rFonts w:ascii="Times New Roman" w:hAnsi="Times New Roman" w:eastAsia="宋体" w:cs="Times New Roman"/>
                <w:b w:val="0"/>
                <w:sz w:val="18"/>
              </w:rPr>
              <w:t>NGBoost可解释概率预测，S</w:t>
            </w:r>
          </w:p>
        </w:tc>
        <w:tc>
          <w:tcPr>
            <w:tcW w:type="dxa" w:w="2608"/>
            <w:vAlign w:val="center"/>
          </w:tcPr>
          <w:p>
            <w:pPr>
              <w:spacing w:line="276" w:lineRule="auto" w:after="80" w:before="80"/>
            </w:pPr>
            <w:r>
              <w:rPr>
                <w:rFonts w:ascii="Times New Roman" w:hAnsi="Times New Roman" w:eastAsia="宋体" w:cs="Times New Roman"/>
                <w:b w:val="0"/>
                <w:sz w:val="18"/>
              </w:rPr>
              <w:t>SHAP解释及交互</w:t>
            </w:r>
          </w:p>
        </w:tc>
        <w:tc>
          <w:tcPr>
            <w:tcW w:type="dxa" w:w="2608"/>
            <w:vAlign w:val="center"/>
          </w:tcPr>
          <w:p>
            <w:pPr>
              <w:spacing w:line="276" w:lineRule="auto" w:after="80" w:before="80"/>
            </w:pPr>
            <w:r>
              <w:rPr>
                <w:rFonts w:ascii="Times New Roman" w:hAnsi="Times New Roman" w:eastAsia="宋体" w:cs="Times New Roman"/>
                <w:b w:val="0"/>
                <w:sz w:val="18"/>
              </w:rPr>
              <w:t>尚未确认完整重训练对应协议</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P10</w:t>
            </w:r>
          </w:p>
        </w:tc>
        <w:tc>
          <w:tcPr>
            <w:tcW w:type="dxa" w:w="2324"/>
            <w:vAlign w:val="center"/>
          </w:tcPr>
          <w:p>
            <w:pPr>
              <w:spacing w:line="276" w:lineRule="auto" w:after="80" w:before="80"/>
            </w:pPr>
            <w:r>
              <w:rPr>
                <w:rFonts w:ascii="Times New Roman" w:hAnsi="Times New Roman" w:eastAsia="宋体" w:cs="Times New Roman"/>
                <w:b w:val="0"/>
                <w:sz w:val="18"/>
              </w:rPr>
              <w:t>Chad光伏研究，T</w:t>
            </w:r>
          </w:p>
        </w:tc>
        <w:tc>
          <w:tcPr>
            <w:tcW w:type="dxa" w:w="2608"/>
            <w:vAlign w:val="center"/>
          </w:tcPr>
          <w:p>
            <w:pPr>
              <w:spacing w:line="276" w:lineRule="auto" w:after="80" w:before="80"/>
            </w:pPr>
            <w:r>
              <w:rPr>
                <w:rFonts w:ascii="Times New Roman" w:hAnsi="Times New Roman" w:eastAsia="宋体" w:cs="Times New Roman"/>
                <w:b w:val="0"/>
                <w:sz w:val="18"/>
              </w:rPr>
              <w:t>SHAP与分组消融作直接对照</w:t>
            </w:r>
          </w:p>
        </w:tc>
        <w:tc>
          <w:tcPr>
            <w:tcW w:type="dxa" w:w="2608"/>
            <w:vAlign w:val="center"/>
          </w:tcPr>
          <w:p>
            <w:pPr>
              <w:spacing w:line="276" w:lineRule="auto" w:after="80" w:before="80"/>
            </w:pPr>
            <w:r>
              <w:rPr>
                <w:rFonts w:ascii="Times New Roman" w:hAnsi="Times New Roman" w:eastAsia="宋体" w:cs="Times New Roman"/>
                <w:b w:val="0"/>
                <w:sz w:val="18"/>
              </w:rPr>
              <w:t>已覆盖H3的宽泛形式</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P11</w:t>
            </w:r>
          </w:p>
        </w:tc>
        <w:tc>
          <w:tcPr>
            <w:tcW w:type="dxa" w:w="2324"/>
            <w:vAlign w:val="center"/>
          </w:tcPr>
          <w:p>
            <w:pPr>
              <w:spacing w:line="276" w:lineRule="auto" w:after="80" w:before="80"/>
            </w:pPr>
            <w:r>
              <w:rPr>
                <w:rFonts w:ascii="Times New Roman" w:hAnsi="Times New Roman" w:eastAsia="宋体" w:cs="Times New Roman"/>
                <w:b w:val="0"/>
                <w:sz w:val="18"/>
              </w:rPr>
              <w:t>Seasonal explainability，U</w:t>
            </w:r>
          </w:p>
        </w:tc>
        <w:tc>
          <w:tcPr>
            <w:tcW w:type="dxa" w:w="2608"/>
            <w:vAlign w:val="center"/>
          </w:tcPr>
          <w:p>
            <w:pPr>
              <w:spacing w:line="276" w:lineRule="auto" w:after="80" w:before="80"/>
            </w:pPr>
            <w:r>
              <w:rPr>
                <w:rFonts w:ascii="Times New Roman" w:hAnsi="Times New Roman" w:eastAsia="宋体" w:cs="Times New Roman"/>
                <w:b w:val="0"/>
                <w:sz w:val="18"/>
              </w:rPr>
              <w:t>季节解释漂移与多方法解释</w:t>
            </w:r>
          </w:p>
        </w:tc>
        <w:tc>
          <w:tcPr>
            <w:tcW w:type="dxa" w:w="2608"/>
            <w:vAlign w:val="center"/>
          </w:tcPr>
          <w:p>
            <w:pPr>
              <w:spacing w:line="276" w:lineRule="auto" w:after="80" w:before="80"/>
            </w:pPr>
            <w:r>
              <w:rPr>
                <w:rFonts w:ascii="Times New Roman" w:hAnsi="Times New Roman" w:eastAsia="宋体" w:cs="Times New Roman"/>
                <w:b w:val="0"/>
                <w:sz w:val="18"/>
              </w:rPr>
              <w:t>首次上线日不明，排除核心截至日判断</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P12</w:t>
            </w:r>
          </w:p>
        </w:tc>
        <w:tc>
          <w:tcPr>
            <w:tcW w:type="dxa" w:w="2324"/>
            <w:vAlign w:val="center"/>
          </w:tcPr>
          <w:p>
            <w:pPr>
              <w:spacing w:line="276" w:lineRule="auto" w:after="80" w:before="80"/>
            </w:pPr>
            <w:r>
              <w:rPr>
                <w:rFonts w:ascii="Times New Roman" w:hAnsi="Times New Roman" w:eastAsia="宋体" w:cs="Times New Roman"/>
                <w:b w:val="0"/>
                <w:sz w:val="18"/>
              </w:rPr>
              <w:t>多时距成本收益框架，S</w:t>
            </w:r>
          </w:p>
        </w:tc>
        <w:tc>
          <w:tcPr>
            <w:tcW w:type="dxa" w:w="2608"/>
            <w:vAlign w:val="center"/>
          </w:tcPr>
          <w:p>
            <w:pPr>
              <w:spacing w:line="276" w:lineRule="auto" w:after="80" w:before="80"/>
            </w:pPr>
            <w:r>
              <w:rPr>
                <w:rFonts w:ascii="Times New Roman" w:hAnsi="Times New Roman" w:eastAsia="宋体" w:cs="Times New Roman"/>
                <w:b w:val="0"/>
                <w:sz w:val="18"/>
              </w:rPr>
              <w:t>按时距分层SHAP</w:t>
            </w:r>
          </w:p>
        </w:tc>
        <w:tc>
          <w:tcPr>
            <w:tcW w:type="dxa" w:w="2608"/>
            <w:vAlign w:val="center"/>
          </w:tcPr>
          <w:p>
            <w:pPr>
              <w:spacing w:line="276" w:lineRule="auto" w:after="80" w:before="80"/>
            </w:pPr>
            <w:r>
              <w:rPr>
                <w:rFonts w:ascii="Times New Roman" w:hAnsi="Times New Roman" w:eastAsia="宋体" w:cs="Times New Roman"/>
                <w:b w:val="0"/>
                <w:sz w:val="18"/>
              </w:rPr>
              <w:t>输入和消融细节未确认</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P13</w:t>
            </w:r>
          </w:p>
        </w:tc>
        <w:tc>
          <w:tcPr>
            <w:tcW w:type="dxa" w:w="2324"/>
            <w:vAlign w:val="center"/>
          </w:tcPr>
          <w:p>
            <w:pPr>
              <w:spacing w:line="276" w:lineRule="auto" w:after="80" w:before="80"/>
            </w:pPr>
            <w:r>
              <w:rPr>
                <w:rFonts w:ascii="Times New Roman" w:hAnsi="Times New Roman" w:eastAsia="宋体" w:cs="Times New Roman"/>
                <w:b w:val="0"/>
                <w:sz w:val="18"/>
              </w:rPr>
              <w:t>光伏XAI综述，S</w:t>
            </w:r>
          </w:p>
        </w:tc>
        <w:tc>
          <w:tcPr>
            <w:tcW w:type="dxa" w:w="2608"/>
            <w:vAlign w:val="center"/>
          </w:tcPr>
          <w:p>
            <w:pPr>
              <w:spacing w:line="276" w:lineRule="auto" w:after="80" w:before="80"/>
            </w:pPr>
            <w:r>
              <w:rPr>
                <w:rFonts w:ascii="Times New Roman" w:hAnsi="Times New Roman" w:eastAsia="宋体" w:cs="Times New Roman"/>
                <w:b w:val="0"/>
                <w:sz w:val="18"/>
              </w:rPr>
              <w:t>解释稳定性和忠实性问题</w:t>
            </w:r>
          </w:p>
        </w:tc>
        <w:tc>
          <w:tcPr>
            <w:tcW w:type="dxa" w:w="2608"/>
            <w:vAlign w:val="center"/>
          </w:tcPr>
          <w:p>
            <w:pPr>
              <w:spacing w:line="276" w:lineRule="auto" w:after="80" w:before="80"/>
            </w:pPr>
            <w:r>
              <w:rPr>
                <w:rFonts w:ascii="Times New Roman" w:hAnsi="Times New Roman" w:eastAsia="宋体" w:cs="Times New Roman"/>
                <w:b w:val="0"/>
                <w:sz w:val="18"/>
              </w:rPr>
              <w:t>用于追踪原始研究，不能证明空白</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P14</w:t>
            </w:r>
          </w:p>
        </w:tc>
        <w:tc>
          <w:tcPr>
            <w:tcW w:type="dxa" w:w="2324"/>
            <w:vAlign w:val="center"/>
          </w:tcPr>
          <w:p>
            <w:pPr>
              <w:spacing w:line="276" w:lineRule="auto" w:after="80" w:before="80"/>
            </w:pPr>
            <w:r>
              <w:rPr>
                <w:rFonts w:ascii="Times New Roman" w:hAnsi="Times New Roman" w:eastAsia="宋体" w:cs="Times New Roman"/>
                <w:b w:val="0"/>
                <w:sz w:val="18"/>
              </w:rPr>
              <w:t>MambaFormer-TPEF，T</w:t>
            </w:r>
          </w:p>
        </w:tc>
        <w:tc>
          <w:tcPr>
            <w:tcW w:type="dxa" w:w="2608"/>
            <w:vAlign w:val="center"/>
          </w:tcPr>
          <w:p>
            <w:pPr>
              <w:spacing w:line="276" w:lineRule="auto" w:after="80" w:before="80"/>
            </w:pPr>
            <w:r>
              <w:rPr>
                <w:rFonts w:ascii="Times New Roman" w:hAnsi="Times New Roman" w:eastAsia="宋体" w:cs="Times New Roman"/>
                <w:b w:val="0"/>
                <w:sz w:val="18"/>
              </w:rPr>
              <w:t>SHAP、跨模型排名及模块消融</w:t>
            </w:r>
          </w:p>
        </w:tc>
        <w:tc>
          <w:tcPr>
            <w:tcW w:type="dxa" w:w="2608"/>
            <w:vAlign w:val="center"/>
          </w:tcPr>
          <w:p>
            <w:pPr>
              <w:spacing w:line="276" w:lineRule="auto" w:after="80" w:before="80"/>
            </w:pPr>
            <w:r>
              <w:rPr>
                <w:rFonts w:ascii="Times New Roman" w:hAnsi="Times New Roman" w:eastAsia="宋体" w:cs="Times New Roman"/>
                <w:b w:val="0"/>
                <w:sz w:val="18"/>
              </w:rPr>
              <w:t>排名一致性与信息组增益不是同一检验</w:t>
            </w:r>
          </w:p>
        </w:tc>
      </w:tr>
    </w:tbl>
    <w:p>
      <w:pPr>
        <w:spacing w:after="0"/>
      </w:pPr>
    </w:p>
    <w:p>
      <w:pPr>
        <w:ind w:firstLine="440"/>
      </w:pPr>
      <w:r>
        <w:rPr>
          <w:rFonts w:ascii="Times New Roman" w:hAnsi="Times New Roman" w:eastAsia="宋体" w:cs="Times New Roman"/>
        </w:rPr>
        <w:t>P10：终刊PDF§3.2—3.3及Table4将SHAP与辐照、气象、日历组消融并列。表中去日历后MAE低于完整模型，提示归因较大或非零不保证删除后的误差上升；重训练规则和目标仍需精确匹配。</w:t>
      </w:r>
      <w:hyperlink r:id="rId17">
        <w:r>
          <w:rPr>
            <w:rFonts w:ascii="Times New Roman" w:hAnsi="Times New Roman" w:eastAsia="宋体" w:cs="Times New Roman"/>
            <w:color w:val="0563C1"/>
            <w:u w:val="single"/>
          </w:rPr>
          <w:t>机构库终刊PDF</w:t>
        </w:r>
      </w:hyperlink>
      <w:r>
        <w:rPr>
          <w:rFonts w:ascii="Times New Roman" w:hAnsi="Times New Roman" w:eastAsia="宋体" w:cs="Times New Roman"/>
        </w:rPr>
      </w:r>
    </w:p>
    <w:p>
      <w:pPr>
        <w:ind w:firstLine="440"/>
      </w:pPr>
      <w:r>
        <w:rPr>
          <w:rFonts w:ascii="Times New Roman" w:hAnsi="Times New Roman" w:eastAsia="宋体" w:cs="Times New Roman"/>
        </w:rPr>
        <w:t>P14：已定位的方法段落分别介绍SHAP排名、跨模型排名相关和架构/损失/融合消融。它们说明方法组合已有实例，但不能据此确认解释排名与原始信息组重训练增益已作系统对应。</w:t>
      </w:r>
      <w:hyperlink r:id="rId18">
        <w:r>
          <w:rPr>
            <w:rFonts w:ascii="Times New Roman" w:hAnsi="Times New Roman" w:eastAsia="宋体" w:cs="Times New Roman"/>
            <w:color w:val="0563C1"/>
            <w:u w:val="single"/>
          </w:rPr>
          <w:t>出版社来源</w:t>
        </w:r>
      </w:hyperlink>
      <w:r>
        <w:rPr>
          <w:rFonts w:ascii="Times New Roman" w:hAnsi="Times New Roman" w:eastAsia="宋体" w:cs="Times New Roman"/>
        </w:rPr>
      </w:r>
    </w:p>
    <w:p>
      <w:pPr>
        <w:ind w:firstLine="440"/>
      </w:pPr>
      <w:r>
        <w:rPr>
          <w:rFonts w:ascii="Times New Roman" w:hAnsi="Times New Roman" w:eastAsia="宋体" w:cs="Times New Roman"/>
        </w:rPr>
        <w:t>P07—P09、P12—P13的正文范围或关键输入协议尚不完整，因此保留为竞争性对照。P11虽有出版社摘要线索，但卷期涉及2027，首次公开版本时间未核实；本轮不据此声称截至核查日已完成某项研究。全部链接与后续核查点保留在CSV。</w:t>
      </w:r>
    </w:p>
    <w:p>
      <w:pPr>
        <w:pStyle w:val="Heading1"/>
      </w:pPr>
      <w:r>
        <w:rPr>
          <w:rFonts w:ascii="Times New Roman" w:hAnsi="Times New Roman" w:eastAsia="宋体" w:cs="Times New Roman"/>
        </w:rPr>
        <w:t>4 对第二版H1—H3的审查结果</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原候选问题</w:t>
            </w:r>
          </w:p>
        </w:tc>
        <w:tc>
          <w:tcPr>
            <w:tcW w:type="dxa" w:w="2324"/>
            <w:vAlign w:val="center"/>
            <w:shd w:fill="E8EFF7"/>
          </w:tcPr>
          <w:p>
            <w:pPr>
              <w:spacing w:line="276" w:lineRule="auto" w:after="80" w:before="80"/>
            </w:pPr>
            <w:r>
              <w:rPr>
                <w:rFonts w:ascii="Times New Roman" w:hAnsi="Times New Roman" w:eastAsia="宋体" w:cs="Times New Roman"/>
                <w:b/>
                <w:sz w:val="18"/>
              </w:rPr>
              <w:t>本轮判断</w:t>
            </w:r>
          </w:p>
        </w:tc>
        <w:tc>
          <w:tcPr>
            <w:tcW w:type="dxa" w:w="2608"/>
            <w:vAlign w:val="center"/>
            <w:shd w:fill="E8EFF7"/>
          </w:tcPr>
          <w:p>
            <w:pPr>
              <w:spacing w:line="276" w:lineRule="auto" w:after="80" w:before="80"/>
            </w:pPr>
            <w:r>
              <w:rPr>
                <w:rFonts w:ascii="Times New Roman" w:hAnsi="Times New Roman" w:eastAsia="宋体" w:cs="Times New Roman"/>
                <w:b/>
                <w:sz w:val="18"/>
              </w:rPr>
              <w:t>应调整的研究定位</w:t>
            </w:r>
          </w:p>
        </w:tc>
        <w:tc>
          <w:tcPr>
            <w:tcW w:type="dxa" w:w="2608"/>
            <w:vAlign w:val="center"/>
            <w:shd w:fill="E8EFF7"/>
          </w:tcPr>
          <w:p>
            <w:pPr>
              <w:spacing w:line="276" w:lineRule="auto" w:after="80" w:before="80"/>
            </w:pPr>
            <w:r>
              <w:rPr>
                <w:rFonts w:ascii="Times New Roman" w:hAnsi="Times New Roman" w:eastAsia="宋体" w:cs="Times New Roman"/>
                <w:b/>
                <w:sz w:val="18"/>
              </w:rPr>
              <w:t>尚需补齐的证据</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H1：远期预报相对历史功率的增益更大</w:t>
            </w:r>
          </w:p>
        </w:tc>
        <w:tc>
          <w:tcPr>
            <w:tcW w:type="dxa" w:w="2324"/>
            <w:vAlign w:val="center"/>
          </w:tcPr>
          <w:p>
            <w:pPr>
              <w:spacing w:line="276" w:lineRule="auto" w:after="80" w:before="80"/>
            </w:pPr>
            <w:r>
              <w:rPr>
                <w:rFonts w:ascii="Times New Roman" w:hAnsi="Times New Roman" w:eastAsia="宋体" w:cs="Times New Roman"/>
                <w:b w:val="0"/>
                <w:sz w:val="18"/>
              </w:rPr>
              <w:t>广义主题已有研究；方向和单调性仍待验证</w:t>
            </w:r>
          </w:p>
        </w:tc>
        <w:tc>
          <w:tcPr>
            <w:tcW w:type="dxa" w:w="2608"/>
            <w:vAlign w:val="center"/>
          </w:tcPr>
          <w:p>
            <w:pPr>
              <w:spacing w:line="276" w:lineRule="auto" w:after="80" w:before="80"/>
            </w:pPr>
            <w:r>
              <w:rPr>
                <w:rFonts w:ascii="Times New Roman" w:hAnsi="Times New Roman" w:eastAsia="宋体" w:cs="Times New Roman"/>
                <w:b w:val="0"/>
                <w:sz w:val="18"/>
              </w:rPr>
              <w:t>研究预报年龄、质量与提前量的条件增益及失效范围</w:t>
            </w:r>
          </w:p>
        </w:tc>
        <w:tc>
          <w:tcPr>
            <w:tcW w:type="dxa" w:w="2608"/>
            <w:vAlign w:val="center"/>
          </w:tcPr>
          <w:p>
            <w:pPr>
              <w:spacing w:line="276" w:lineRule="auto" w:after="80" w:before="80"/>
            </w:pPr>
            <w:r>
              <w:rPr>
                <w:rFonts w:ascii="Times New Roman" w:hAnsi="Times New Roman" w:eastAsia="宋体" w:cs="Times New Roman"/>
                <w:b w:val="0"/>
                <w:sz w:val="18"/>
              </w:rPr>
              <w:t>匹配的预报版本、信息组重训练、共同测试样本和区间</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H2：天气/季节改变信息贡献</w:t>
            </w:r>
          </w:p>
        </w:tc>
        <w:tc>
          <w:tcPr>
            <w:tcW w:type="dxa" w:w="2324"/>
            <w:vAlign w:val="center"/>
          </w:tcPr>
          <w:p>
            <w:pPr>
              <w:spacing w:line="276" w:lineRule="auto" w:after="80" w:before="80"/>
            </w:pPr>
            <w:r>
              <w:rPr>
                <w:rFonts w:ascii="Times New Roman" w:hAnsi="Times New Roman" w:eastAsia="宋体" w:cs="Times New Roman"/>
                <w:b w:val="0"/>
                <w:sz w:val="18"/>
              </w:rPr>
              <w:t>天气条件化、晴阴对照及归因变化已有基础</w:t>
            </w:r>
          </w:p>
        </w:tc>
        <w:tc>
          <w:tcPr>
            <w:tcW w:type="dxa" w:w="2608"/>
            <w:vAlign w:val="center"/>
          </w:tcPr>
          <w:p>
            <w:pPr>
              <w:spacing w:line="276" w:lineRule="auto" w:after="80" w:before="80"/>
            </w:pPr>
            <w:r>
              <w:rPr>
                <w:rFonts w:ascii="Times New Roman" w:hAnsi="Times New Roman" w:eastAsia="宋体" w:cs="Times New Roman"/>
                <w:b w:val="0"/>
                <w:sz w:val="18"/>
              </w:rPr>
              <w:t>研究年龄×提前量×天气的具体交互；季节结论依数据覆盖</w:t>
            </w:r>
          </w:p>
        </w:tc>
        <w:tc>
          <w:tcPr>
            <w:tcW w:type="dxa" w:w="2608"/>
            <w:vAlign w:val="center"/>
          </w:tcPr>
          <w:p>
            <w:pPr>
              <w:spacing w:line="276" w:lineRule="auto" w:after="80" w:before="80"/>
            </w:pPr>
            <w:r>
              <w:rPr>
                <w:rFonts w:ascii="Times New Roman" w:hAnsi="Times New Roman" w:eastAsia="宋体" w:cs="Times New Roman"/>
                <w:b w:val="0"/>
                <w:sz w:val="18"/>
              </w:rPr>
              <w:t>拟研究交互是否已被核心全文完整检验，且是否有稳定结果</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H3：SHAP与消融正向对应</w:t>
            </w:r>
          </w:p>
        </w:tc>
        <w:tc>
          <w:tcPr>
            <w:tcW w:type="dxa" w:w="2324"/>
            <w:vAlign w:val="center"/>
          </w:tcPr>
          <w:p>
            <w:pPr>
              <w:spacing w:line="276" w:lineRule="auto" w:after="80" w:before="80"/>
            </w:pPr>
            <w:r>
              <w:rPr>
                <w:rFonts w:ascii="Times New Roman" w:hAnsi="Times New Roman" w:eastAsia="宋体" w:cs="Times New Roman"/>
                <w:b w:val="0"/>
                <w:sz w:val="18"/>
              </w:rPr>
              <w:t>联合使用及直接对照已有光伏案例</w:t>
            </w:r>
          </w:p>
        </w:tc>
        <w:tc>
          <w:tcPr>
            <w:tcW w:type="dxa" w:w="2608"/>
            <w:vAlign w:val="center"/>
          </w:tcPr>
          <w:p>
            <w:pPr>
              <w:spacing w:line="276" w:lineRule="auto" w:after="80" w:before="80"/>
            </w:pPr>
            <w:r>
              <w:rPr>
                <w:rFonts w:ascii="Times New Roman" w:hAnsi="Times New Roman" w:eastAsia="宋体" w:cs="Times New Roman"/>
                <w:b w:val="0"/>
                <w:sz w:val="18"/>
              </w:rPr>
              <w:t>验证对应关系何时稳定、何时因相关替代或目标不匹配而失效</w:t>
            </w:r>
          </w:p>
        </w:tc>
        <w:tc>
          <w:tcPr>
            <w:tcW w:type="dxa" w:w="2608"/>
            <w:vAlign w:val="center"/>
          </w:tcPr>
          <w:p>
            <w:pPr>
              <w:spacing w:line="276" w:lineRule="auto" w:after="80" w:before="80"/>
            </w:pPr>
            <w:r>
              <w:rPr>
                <w:rFonts w:ascii="Times New Roman" w:hAnsi="Times New Roman" w:eastAsia="宋体" w:cs="Times New Roman"/>
                <w:b w:val="0"/>
                <w:sz w:val="18"/>
              </w:rPr>
              <w:t>相同目标/背景、删除组后的训练、重复时间块与多个模型族</w:t>
            </w:r>
          </w:p>
        </w:tc>
      </w:tr>
    </w:tbl>
    <w:p>
      <w:pPr>
        <w:spacing w:after="0"/>
      </w:pPr>
    </w:p>
    <w:p>
      <w:pPr>
        <w:ind w:firstLine="440"/>
      </w:pPr>
      <w:r>
        <w:rPr>
          <w:rFonts w:ascii="Times New Roman" w:hAnsi="Times New Roman" w:eastAsia="宋体" w:cs="Times New Roman"/>
        </w:rPr>
        <w:t>上述判断并非确认三项候选均无研究价值。它说明实验工具和宽泛主题已有基础，主张贡献需要落实到未充分验证的条件、明确的比较对象和可重复结果。单园区复核也可以形成应用证据，但应说明适用范围。</w:t>
      </w:r>
    </w:p>
    <w:p>
      <w:pPr>
        <w:ind w:firstLine="440"/>
      </w:pPr>
      <w:r>
        <w:rPr>
          <w:rFonts w:ascii="Times New Roman" w:hAnsi="Times New Roman" w:eastAsia="宋体" w:cs="Times New Roman"/>
        </w:rPr>
        <w:t>本轮未能确认有研究完整回答下列联合问题：可审计的预报到达规则、预报年龄与提前量的交互、原始信息组条件增益、相同目标的归因—重训练对应及设备状态控制。由于P06、P08等全文尚不完整，这仅是本轮核查下的候选证据不足，不是全领域排他性空白。也不能仅因尚未发现一篇同时包含所有要素的论文，就把该组合认定为创新；必须说明这些条件确实影响问题和结论。</w:t>
      </w:r>
    </w:p>
    <w:p>
      <w:pPr>
        <w:pStyle w:val="Heading1"/>
      </w:pPr>
      <w:r>
        <w:rPr>
          <w:rFonts w:ascii="Times New Roman" w:hAnsi="Times New Roman" w:eastAsia="宋体" w:cs="Times New Roman"/>
        </w:rPr>
        <w:t>5 建议优先确认的具体问题</w:t>
      </w:r>
    </w:p>
    <w:p>
      <w:pPr>
        <w:pStyle w:val="Heading2"/>
      </w:pPr>
      <w:r>
        <w:rPr>
          <w:rFonts w:ascii="Times New Roman" w:hAnsi="Times New Roman" w:eastAsia="宋体" w:cs="Times New Roman"/>
        </w:rPr>
        <w:t>5.1 候选主问题</w:t>
      </w:r>
    </w:p>
    <w:p>
      <w:pPr>
        <w:ind w:firstLine="440"/>
      </w:pPr>
      <w:r>
        <w:rPr>
          <w:rFonts w:ascii="Times New Roman" w:hAnsi="Times New Roman" w:eastAsia="宋体" w:cs="Times New Roman"/>
        </w:rPr>
        <w:t>在实际可取得的预报版本下，预报年龄与预测提前量如何共同影响历史功率和预报气象的条件增益？天气变化与正常/受约束设备状态是否改变这一关系？</w:t>
      </w:r>
    </w:p>
    <w:p>
      <w:pPr>
        <w:ind w:firstLine="440"/>
      </w:pPr>
      <w:r>
        <w:rPr>
          <w:rFonts w:ascii="Times New Roman" w:hAnsi="Times New Roman" w:eastAsia="宋体" w:cs="Times New Roman"/>
        </w:rPr>
        <w:t>建议题目方向为“园区光伏预测中预报年龄与提前量对信息增益的影响及解释一致性验证”。这是可检验的研究定位建议，尚未确认其具有排他性新颖性，也不是已经得到的结果。</w:t>
      </w:r>
    </w:p>
    <w:p>
      <w:pPr>
        <w:pStyle w:val="Heading2"/>
      </w:pPr>
      <w:r>
        <w:rPr>
          <w:rFonts w:ascii="Times New Roman" w:hAnsi="Times New Roman" w:eastAsia="宋体" w:cs="Times New Roman"/>
        </w:rPr>
        <w:t>5.2 先区分四个时间量</w:t>
      </w:r>
    </w:p>
    <w:p>
      <w:pPr>
        <w:ind w:firstLine="440"/>
      </w:pPr>
      <w:r>
        <w:rPr>
          <w:rFonts w:ascii="Times New Roman" w:hAnsi="Times New Roman" w:eastAsia="宋体" w:cs="Times New Roman"/>
        </w:rPr>
        <w:t>令t_init为天气预报起报时刻，t_arrive为实际可获取时刻，t0为功率预测发布时刻，t_valid为目标有效时刻。预测提前量h=t_valid−t0，起报年龄a=t0−t_init，到达延迟d=t_arrive−t_init；气象产品自身的预报提前量为t_valid−t_init=a+h。若按到达后年龄计量，应另记t0−t_arrive，不能与a混用。</w:t>
      </w:r>
    </w:p>
    <w:p>
      <w:pPr>
        <w:ind w:firstLine="440"/>
      </w:pPr>
      <w:r>
        <w:rPr>
          <w:rFonts w:ascii="Times New Roman" w:hAnsi="Times New Roman" w:eastAsia="宋体" w:cs="Times New Roman"/>
        </w:rPr>
        <w:t>气象版本只有在t_arrive≤t0时才能进入当次功率预测。归档预报的起报时刻不等于实际接收时刻。缺少到达日志时，可开展明确假定延迟的敏感性实验，但要写成回溯条件分析，不能声称已经证实实时部署可用性。</w:t>
      </w:r>
    </w:p>
    <w:p>
      <w:pPr>
        <w:pStyle w:val="Heading2"/>
      </w:pPr>
      <w:r>
        <w:rPr>
          <w:rFonts w:ascii="Times New Roman" w:hAnsi="Times New Roman" w:eastAsia="宋体" w:cs="Times New Roman"/>
        </w:rPr>
        <w:t>5.3 最低可行的验证设计</w:t>
      </w:r>
    </w:p>
    <w:p>
      <w:pPr>
        <w:ind w:firstLine="440"/>
      </w:pPr>
      <w:r>
        <w:rPr>
          <w:rFonts w:ascii="Times New Roman" w:hAnsi="Times New Roman" w:eastAsia="宋体" w:cs="Times New Roman"/>
        </w:rPr>
        <w:t>首先保留一项以共同数据边界开展的复核：同一模型族分别训练仅历史功率信息、仅预报信息及两者融合的变体，共同日历/太阳位置等输入固定。删除信息组时应同时删除其衍生信息；例如删除历史功率后仍保留功率滚动统计，不能称为完整历史功率消融。</w:t>
      </w:r>
    </w:p>
    <w:p>
      <w:pPr>
        <w:ind w:firstLine="440"/>
      </w:pPr>
      <w:r>
        <w:rPr>
          <w:rFonts w:ascii="Times New Roman" w:hAnsi="Times New Roman" w:eastAsia="宋体" w:cs="Times New Roman"/>
        </w:rPr>
        <w:t>随后在真实或明确假定的版本年龄条件下，比较逐提前量的条件增益，并按预先冻结的天气和设备状态规则分层。增加年龄的比较必须控制训练、目标样本和模型族，否则无法将差异归因于信息时效。误差和条件增益可以为负，需保留反例及实际意义阈值。</w:t>
      </w:r>
    </w:p>
    <w:p>
      <w:pPr>
        <w:ind w:firstLine="440"/>
      </w:pPr>
      <w:r>
        <w:rPr>
          <w:rFonts w:ascii="Times New Roman" w:hAnsi="Times New Roman" w:eastAsia="宋体" w:cs="Times New Roman"/>
        </w:rPr>
        <w:t>解释验证采用相同点输出或相同窗口输出，固定背景与信息组规则，再与删除组后的重训练增益比较。使用时间块的不确定性区间，至少在竞争性树模型和研究时序模型中复核。少量信息组的排名相关只作描述，不能单独证明解释忠实性或物理因果。</w:t>
      </w:r>
    </w:p>
    <w:p>
      <w:pPr>
        <w:pStyle w:val="Heading2"/>
      </w:pPr>
      <w:r>
        <w:rPr>
          <w:rFonts w:ascii="Times New Roman" w:hAnsi="Times New Roman" w:eastAsia="宋体" w:cs="Times New Roman"/>
        </w:rPr>
        <w:t>5.4 成立条件与降级路径</w:t>
      </w:r>
    </w:p>
    <w:tbl>
      <w:tblPr>
        <w:tblStyle w:val="TableGrid"/>
        <w:tblW w:type="auto" w:w="0"/>
        <w:jc w:val="center"/>
        <w:tblLayout w:type="fixed"/>
        <w:tblLook w:firstColumn="1" w:firstRow="1" w:lastColumn="0" w:lastRow="0" w:noHBand="0" w:noVBand="1" w:val="04A0"/>
      </w:tblPr>
      <w:tblGrid>
        <w:gridCol w:w="1757"/>
        <w:gridCol w:w="3572"/>
        <w:gridCol w:w="4195"/>
      </w:tblGrid>
      <w:tr>
        <w:trPr>
          <w:cantSplit/>
          <w:tblHeader/>
        </w:trPr>
        <w:tc>
          <w:tcPr>
            <w:tcW w:type="dxa" w:w="1757"/>
            <w:vAlign w:val="center"/>
            <w:shd w:fill="E8EFF7"/>
          </w:tcPr>
          <w:p>
            <w:pPr>
              <w:spacing w:line="276" w:lineRule="auto" w:after="80" w:before="80"/>
            </w:pPr>
            <w:r>
              <w:rPr>
                <w:rFonts w:ascii="Times New Roman" w:hAnsi="Times New Roman" w:eastAsia="宋体" w:cs="Times New Roman"/>
                <w:b/>
                <w:sz w:val="18"/>
              </w:rPr>
              <w:t>已有数据</w:t>
            </w:r>
          </w:p>
        </w:tc>
        <w:tc>
          <w:tcPr>
            <w:tcW w:type="dxa" w:w="3572"/>
            <w:vAlign w:val="center"/>
            <w:shd w:fill="E8EFF7"/>
          </w:tcPr>
          <w:p>
            <w:pPr>
              <w:spacing w:line="276" w:lineRule="auto" w:after="80" w:before="80"/>
            </w:pPr>
            <w:r>
              <w:rPr>
                <w:rFonts w:ascii="Times New Roman" w:hAnsi="Times New Roman" w:eastAsia="宋体" w:cs="Times New Roman"/>
                <w:b/>
                <w:sz w:val="18"/>
              </w:rPr>
              <w:t>可以主张的研究范围</w:t>
            </w:r>
          </w:p>
        </w:tc>
        <w:tc>
          <w:tcPr>
            <w:tcW w:type="dxa" w:w="4195"/>
            <w:vAlign w:val="center"/>
            <w:shd w:fill="E8EFF7"/>
          </w:tcPr>
          <w:p>
            <w:pPr>
              <w:spacing w:line="276" w:lineRule="auto" w:after="80" w:before="80"/>
            </w:pPr>
            <w:r>
              <w:rPr>
                <w:rFonts w:ascii="Times New Roman" w:hAnsi="Times New Roman" w:eastAsia="宋体" w:cs="Times New Roman"/>
                <w:b/>
                <w:sz w:val="18"/>
              </w:rPr>
              <w:t>应避免的结论</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真实功率、起报/有效时刻及预报版本</w:t>
            </w:r>
          </w:p>
        </w:tc>
        <w:tc>
          <w:tcPr>
            <w:tcW w:type="dxa" w:w="3572"/>
            <w:vAlign w:val="center"/>
          </w:tcPr>
          <w:p>
            <w:pPr>
              <w:spacing w:line="276" w:lineRule="auto" w:after="80" w:before="80"/>
            </w:pPr>
            <w:r>
              <w:rPr>
                <w:rFonts w:ascii="Times New Roman" w:hAnsi="Times New Roman" w:eastAsia="宋体" w:cs="Times New Roman"/>
                <w:b w:val="0"/>
                <w:sz w:val="18"/>
              </w:rPr>
              <w:t>信息贡献的回溯条件验证</w:t>
            </w:r>
          </w:p>
        </w:tc>
        <w:tc>
          <w:tcPr>
            <w:tcW w:type="dxa" w:w="4195"/>
            <w:vAlign w:val="center"/>
          </w:tcPr>
          <w:p>
            <w:pPr>
              <w:spacing w:line="276" w:lineRule="auto" w:after="80" w:before="80"/>
            </w:pPr>
            <w:r>
              <w:rPr>
                <w:rFonts w:ascii="Times New Roman" w:hAnsi="Times New Roman" w:eastAsia="宋体" w:cs="Times New Roman"/>
                <w:b w:val="0"/>
                <w:sz w:val="18"/>
              </w:rPr>
              <w:t>不把起报时刻当实到时间</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再增加实际到达日志</w:t>
            </w:r>
          </w:p>
        </w:tc>
        <w:tc>
          <w:tcPr>
            <w:tcW w:type="dxa" w:w="3572"/>
            <w:vAlign w:val="center"/>
          </w:tcPr>
          <w:p>
            <w:pPr>
              <w:spacing w:line="276" w:lineRule="auto" w:after="80" w:before="80"/>
            </w:pPr>
            <w:r>
              <w:rPr>
                <w:rFonts w:ascii="Times New Roman" w:hAnsi="Times New Roman" w:eastAsia="宋体" w:cs="Times New Roman"/>
                <w:b w:val="0"/>
                <w:sz w:val="18"/>
              </w:rPr>
              <w:t>预报时效与准时可用性的验证</w:t>
            </w:r>
          </w:p>
        </w:tc>
        <w:tc>
          <w:tcPr>
            <w:tcW w:type="dxa" w:w="4195"/>
            <w:vAlign w:val="center"/>
          </w:tcPr>
          <w:p>
            <w:pPr>
              <w:spacing w:line="276" w:lineRule="auto" w:after="80" w:before="80"/>
            </w:pPr>
            <w:r>
              <w:rPr>
                <w:rFonts w:ascii="Times New Roman" w:hAnsi="Times New Roman" w:eastAsia="宋体" w:cs="Times New Roman"/>
                <w:b w:val="0"/>
                <w:sz w:val="18"/>
              </w:rPr>
              <w:t>不把单次离线回测当长期在线实证</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再增加设备、限发和分区记录</w:t>
            </w:r>
          </w:p>
        </w:tc>
        <w:tc>
          <w:tcPr>
            <w:tcW w:type="dxa" w:w="3572"/>
            <w:vAlign w:val="center"/>
          </w:tcPr>
          <w:p>
            <w:pPr>
              <w:spacing w:line="276" w:lineRule="auto" w:after="80" w:before="80"/>
            </w:pPr>
            <w:r>
              <w:rPr>
                <w:rFonts w:ascii="Times New Roman" w:hAnsi="Times New Roman" w:eastAsia="宋体" w:cs="Times New Roman"/>
                <w:b w:val="0"/>
                <w:sz w:val="18"/>
              </w:rPr>
              <w:t>天气与运行混杂、分区适用边界</w:t>
            </w:r>
          </w:p>
        </w:tc>
        <w:tc>
          <w:tcPr>
            <w:tcW w:type="dxa" w:w="4195"/>
            <w:vAlign w:val="center"/>
          </w:tcPr>
          <w:p>
            <w:pPr>
              <w:spacing w:line="276" w:lineRule="auto" w:after="80" w:before="80"/>
            </w:pPr>
            <w:r>
              <w:rPr>
                <w:rFonts w:ascii="Times New Roman" w:hAnsi="Times New Roman" w:eastAsia="宋体" w:cs="Times New Roman"/>
                <w:b w:val="0"/>
                <w:sz w:val="18"/>
              </w:rPr>
              <w:t>不从总量SHAP推断局部遮挡机制</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只有历史气象与功率</w:t>
            </w:r>
          </w:p>
        </w:tc>
        <w:tc>
          <w:tcPr>
            <w:tcW w:type="dxa" w:w="3572"/>
            <w:vAlign w:val="center"/>
          </w:tcPr>
          <w:p>
            <w:pPr>
              <w:spacing w:line="276" w:lineRule="auto" w:after="80" w:before="80"/>
            </w:pPr>
            <w:r>
              <w:rPr>
                <w:rFonts w:ascii="Times New Roman" w:hAnsi="Times New Roman" w:eastAsia="宋体" w:cs="Times New Roman"/>
                <w:b w:val="0"/>
                <w:sz w:val="18"/>
              </w:rPr>
              <w:t>历史信息贡献与解释验证</w:t>
            </w:r>
          </w:p>
        </w:tc>
        <w:tc>
          <w:tcPr>
            <w:tcW w:type="dxa" w:w="4195"/>
            <w:vAlign w:val="center"/>
          </w:tcPr>
          <w:p>
            <w:pPr>
              <w:spacing w:line="276" w:lineRule="auto" w:after="80" w:before="80"/>
            </w:pPr>
            <w:r>
              <w:rPr>
                <w:rFonts w:ascii="Times New Roman" w:hAnsi="Times New Roman" w:eastAsia="宋体" w:cs="Times New Roman"/>
                <w:b w:val="0"/>
                <w:sz w:val="18"/>
              </w:rPr>
              <w:t>不声称研究真实未来天气预报价值</w:t>
            </w:r>
          </w:p>
        </w:tc>
      </w:tr>
    </w:tbl>
    <w:p>
      <w:pPr>
        <w:spacing w:after="0"/>
      </w:pPr>
    </w:p>
    <w:p>
      <w:pPr>
        <w:ind w:firstLine="440"/>
      </w:pPr>
      <w:r>
        <w:rPr>
          <w:rFonts w:ascii="Times New Roman" w:hAnsi="Times New Roman" w:eastAsia="宋体" w:cs="Times New Roman"/>
        </w:rPr>
        <w:t>若缺少预报档案，暂不采用包含“真实预报时效”的题目。若核心全文已有同等条件的系统验证，则进一步限定园区结构或运行条件，或将任务定位为独立复现与适用性研究。模型换名、时距稍改或地点不同都不自动产生方法贡献。</w:t>
      </w:r>
    </w:p>
    <w:p>
      <w:pPr>
        <w:pStyle w:val="Heading1"/>
      </w:pPr>
      <w:r>
        <w:rPr>
          <w:rFonts w:ascii="Times New Roman" w:hAnsi="Times New Roman" w:eastAsia="宋体" w:cs="Times New Roman"/>
        </w:rPr>
        <w:t>6 可用于开题稿的审慎表述</w:t>
      </w:r>
    </w:p>
    <w:p>
      <w:pPr>
        <w:ind w:firstLine="440"/>
      </w:pPr>
      <w:r>
        <w:rPr>
          <w:rFonts w:ascii="Times New Roman" w:hAnsi="Times New Roman" w:eastAsia="宋体" w:cs="Times New Roman"/>
        </w:rPr>
        <w:t>已有研究已开展历史功率与前向气象信息融合、多时距比较、天气/预报年龄分析及SHAP与消融联合评价。本轮定向核查发现，部分证据来自虚拟功率、作者稿或假定的预报可用规则；不同研究的消融对象及独立测试边界也不一致。在已核对的关键材料中，尚不能确定可审计的预报到达条件下，年龄与提前量对原始信息组增益的联合影响及其归因对应关系是否已得到充分、可重复的园区验证。因此，拟在取得相应数据并补齐重点全文后，对上述条件关系开展验证。</w:t>
      </w:r>
    </w:p>
    <w:p>
      <w:pPr>
        <w:ind w:firstLine="440"/>
      </w:pPr>
      <w:r>
        <w:rPr>
          <w:rFonts w:ascii="Times New Roman" w:hAnsi="Times New Roman" w:eastAsia="宋体" w:cs="Times New Roman"/>
        </w:rPr>
        <w:t>这段话应与本报告及证据表一同使用，不宜删去“本轮”“已核对材料”“尚不能确定”等范围限定后改成“国内外尚无人研究”。本报告提供的是已有证据、竞争性线索和候选不足，最终论文贡献由全文对照及实施结果共同确认。</w:t>
      </w:r>
    </w:p>
    <w:p>
      <w:pPr>
        <w:pStyle w:val="Heading1"/>
      </w:pPr>
      <w:r>
        <w:rPr>
          <w:rFonts w:ascii="Times New Roman" w:hAnsi="Times New Roman" w:eastAsia="宋体" w:cs="Times New Roman"/>
        </w:rPr>
        <w:t>7 后续核查优先级与文件说明</w:t>
      </w:r>
    </w:p>
    <w:p>
      <w:pPr>
        <w:ind w:firstLine="440"/>
      </w:pPr>
      <w:r>
        <w:rPr>
          <w:rFonts w:ascii="Times New Roman" w:hAnsi="Times New Roman" w:eastAsia="宋体" w:cs="Times New Roman"/>
        </w:rPr>
        <w:t>第一优先级：对照P01的补充材料、P02的终刊版本和P03的原始信息组限制，明确当前协议与已有方法的实际区别。第二优先级：补齐P06、P08的正文，确认天气条件化及真实NWP部署范围；核实P10删除组后的训练和输入可用性。P11先确认上线时间再纳入截至日证据。以上项目保留为待核实，没有因访问障碍把它们记成作者未开展。</w:t>
      </w:r>
    </w:p>
    <w:p>
      <w:pPr>
        <w:ind w:firstLine="440"/>
      </w:pPr>
      <w:r>
        <w:rPr>
          <w:rFonts w:ascii="Times New Roman" w:hAnsi="Times New Roman" w:eastAsia="宋体" w:cs="Times New Roman"/>
        </w:rPr>
        <w:t>文献证据表CSV保留研究对象、输入可用性、消融类型、天气/季节、解释验证、正文位置、判断与来源；检索记录CSV保留21条实际执行的检索式及14条候选来源回查记录。Word和Markdown正文一致。文件使用新的R1_20261013名称，既有综述和历史文件均保留。</w:t>
      </w:r>
    </w:p>
    <w:p>
      <w:pPr>
        <w:pStyle w:val="Heading1"/>
      </w:pPr>
      <w:r>
        <w:rPr>
          <w:rFonts w:ascii="Times New Roman" w:hAnsi="Times New Roman" w:eastAsia="宋体" w:cs="Times New Roman"/>
        </w:rPr>
        <w:t>来源索引</w:t>
      </w:r>
    </w:p>
    <w:p>
      <w:pPr>
        <w:ind w:firstLine="440"/>
      </w:pPr>
      <w:r>
        <w:rPr>
          <w:rFonts w:ascii="Times New Roman" w:hAnsi="Times New Roman" w:eastAsia="宋体" w:cs="Times New Roman"/>
        </w:rPr>
        <w:t xml:space="preserve">[P01] Zhang等：Rethinking the use of deep learning methods for photovoltaic power forecasting. 2026；Nature Communications 17:7613. </w:t>
      </w:r>
      <w:hyperlink r:id="rId11">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[P02] Polášek与Čadík：SolarPredictor / Predicting photovoltaic power production using high-uncertainty weather forecasts. 2023终刊；核对材料为作者项目页和24页作者稿. </w:t>
      </w:r>
      <w:hyperlink r:id="rId12">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[P03] Xu等：Horizon-specific expert fusion for photovoltaic power forecasting. arXiv:2609.15035v1；2026-09-14. </w:t>
      </w:r>
      <w:hyperlink r:id="rId13">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[P04] Chen等：Robustness of Deep Learning Models for PV Power Forecasting under NWP Forecast Errors. arXiv:2607.12954v1；2026-07-14. </w:t>
      </w:r>
      <w:hyperlink r:id="rId14">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[P05] 高寒旭等：基于LSTM模型的短期光伏功率预测. 2024；太阳能学报45(6):376—381. </w:t>
      </w:r>
      <w:hyperlink r:id="rId15">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[P06] Bellinguer等：A generic methodology to efficiently integrate weather information in short-term Photovoltaic generation forecasting models. 2022；Solar Energy 244:401—413. </w:t>
      </w:r>
      <w:hyperlink r:id="rId16">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[P07] Abd Elmunim等：Enhancing wind and solar energy forecasting through time-series feature engineering and ensemble machine learning. 2026；Scientific Reports 16:15546. </w:t>
      </w:r>
      <w:hyperlink r:id="rId19">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[P08] Physics-as-a-layer multi-task forecasting of photovoltaic power and module temperature with numerical weather prediction. 2026；EPSR；DOI:10.1016/j.epsr.2026.113181. </w:t>
      </w:r>
      <w:hyperlink r:id="rId20">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[P09] Mitrentsis与Lens：An interpretable probabilistic model for short-term solar power forecasting using natural gradient boosting. 2022；Applied Energy 309:118473. </w:t>
      </w:r>
      <w:hyperlink r:id="rId21">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[P10] Demirci等：Towards reliable solar power forecasting in Sub-Saharan Africa: An explainable hybrid AI approach for Chad. 2026；Energy Reports15:108997；DOI年份不能当出版年份. </w:t>
      </w:r>
      <w:hyperlink r:id="rId17">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[P11] Seasonal explainability in machine learning-based solar forecasting for smart grid energy management: Insights from SHAP, PFI, PDP, and ICE analyses. DOI线索10.1016/j.epsr.2026.113912；卷期线索为2027，首次上线日未确认. </w:t>
      </w:r>
      <w:hyperlink r:id="rId22">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[P12] Dragomir与Dragomir：Photovoltaic Power Forecasting with AI: A Cost–Benefit Framework Across Multiple Time Horizons. 2026-05-28；Future Internet18(6):291. </w:t>
      </w:r>
      <w:hyperlink r:id="rId23">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[P13] Tufail：Explainable AI in solar PV forecasting: A systematic review of models, explainers, and physical drivers. 2026；Solar Compass19:100182. </w:t>
      </w:r>
      <w:hyperlink r:id="rId24">
        <w:r>
          <w:rPr>
            <w:rFonts w:ascii="Times New Roman" w:hAnsi="Times New Roman" w:eastAsia="宋体" w:cs="Times New Roman"/>
            <w:color w:val="0563C1"/>
            <w:u w:val="single"/>
          </w:rPr>
          <w:t>来源</w:t>
        </w:r>
      </w:hyperlink>
      <w:r>
        <w:rPr>
          <w:rFonts w:ascii="Times New Roman" w:hAnsi="Times New Roman" w:eastAsia="宋体" w:cs="Times New Roman"/>
        </w:rPr>
        <w:t>。</w:t>
      </w:r>
    </w:p>
    <w:p>
      <w:pPr>
        <w:ind w:firstLine="440"/>
      </w:pPr>
      <w:r>
        <w:rPr>
          <w:rFonts w:ascii="Times New Roman" w:hAnsi="Times New Roman" w:eastAsia="宋体" w:cs="Times New Roman"/>
        </w:rPr>
        <w:t xml:space="preserve">[P14] MambaFormer-TPEF: a hybrid state space-transformer framework with two-stage peak enhancement for ultra-long sequence photovoltaic power forecasting. 2026；Scientific Reports；DOI:10.1038/s41598-026-51529-4. </w:t>
      </w:r>
      <w:hyperlink r:id="rId18">
        <w:r>
          <w:rPr>
            <w:rFonts w:ascii="Times New Roman" w:hAnsi="Times New Roman" w:eastAsia="宋体" w:cs="Times New Roman"/>
            <w:color w:val="0563C1"/>
            <w:u w:val="single"/>
          </w:rPr>
          <w:t>来源</w:t>
        </w:r>
      </w:hyperlink>
      <w:r>
        <w:rPr>
          <w:rFonts w:ascii="Times New Roman" w:hAnsi="Times New Roman" w:eastAsia="宋体" w:cs="Times New Roman"/>
        </w:rPr>
        <w:t>。</w:t>
      </w:r>
    </w:p>
    <w:sectPr w:rsidR="00FC693F" w:rsidRPr="0006063C" w:rsidSect="00034616">
      <w:headerReference w:type="default" r:id="rId9"/>
      <w:footerReference w:type="default" r:id="rId10"/>
      <w:pgSz w:w="11906" w:h="16838"/>
      <w:pgMar w:top="1191" w:right="1191" w:bottom="1134" w:left="1191" w:header="510" w:footer="510" w:gutter="0"/>
      <w:cols w:space="720"/>
      <w:docGrid w:linePitch="360"/>
    </w:sectPr>
  </w:body>
</w:document>
</file>

<file path=word/fontTable.xml><?xml version="1.0" encoding="utf-8"?>
<w:fonts xmlns:w="http://schemas.openxmlformats.org/wordprocessingml/2006/main">
  <w:font w:name="宋体">
    <w:family w:val="roman"/>
  </w:font>
  <w:font w:name="Times New Roman">
    <w:family w:val="roman"/>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rPr>
      <w:t xml:space="preserve">第 </w:t>
    </w:r>
    <w:fldSimple w:instr="PAGE"/>
    <w:r>
      <w:rPr>
        <w:rFonts w:ascii="Times New Roman" w:hAnsi="Times New Roman" w:eastAsia="宋体" w:cs="Times New Roma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s="Times New Roman"/>
        <w:color w:val="6E6E6E"/>
        <w:sz w:val="16"/>
      </w:rPr>
      <w:t>园区光伏预测 · 研究问题证据核查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宋体"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宋体"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宋体"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宋体"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宋体"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cs="Times New Roman"/>
    </w:rPr>
  </w:style>
  <w:style w:type="character" w:customStyle="1" w:styleId="HeaderChar">
    <w:name w:val="Header Char"/>
    <w:basedOn w:val="DefaultParagraphFont"/>
    <w:link w:val="Header"/>
    <w:uiPriority w:val="99"/>
    <w:rsid w:val="00E618BF"/>
    <w:rPr>
      <w:rFonts w:ascii="Times New Roman" w:hAnsi="Times New Roman" w:eastAsia="宋体"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s="Times New Roman"/>
    </w:rPr>
  </w:style>
  <w:style w:type="character" w:customStyle="1" w:styleId="FooterChar">
    <w:name w:val="Footer Char"/>
    <w:basedOn w:val="DefaultParagraphFont"/>
    <w:link w:val="Footer"/>
    <w:uiPriority w:val="99"/>
    <w:rsid w:val="00E618BF"/>
    <w:rPr>
      <w:rFonts w:ascii="Times New Roman" w:hAnsi="Times New Roman" w:eastAsia="宋体" w:cs="Times New Roman"/>
    </w:rPr>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eastAsia="宋体" w:cs="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imes New Roman" w:hAnsi="Times New Roman" w:eastAsia="宋体" w:cs="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宋体"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eastAsia="宋体" w:cs="Times New Roman"/>
    </w:rPr>
  </w:style>
  <w:style w:type="numbering" w:default="1" w:styleId="NoList">
    <w:name w:val="No List"/>
    <w:uiPriority w:val="99"/>
    <w:semiHidden/>
    <w:unhideWhenUsed/>
    <w:rPr>
      <w:rFonts w:ascii="Times New Roman" w:hAnsi="Times New Roman" w:eastAsia="宋体" w:cs="Times New Roman"/>
    </w:rPr>
  </w:style>
  <w:style w:type="paragraph" w:styleId="NoSpacing">
    <w:name w:val="No Spacing"/>
    <w:uiPriority w:val="1"/>
    <w:qFormat/>
    <w:rsid w:val="00FC693F"/>
    <w:pPr>
      <w:spacing w:after="0" w:line="240" w:lineRule="auto"/>
    </w:pPr>
    <w:rPr>
      <w:rFonts w:ascii="Times New Roman" w:hAnsi="Times New Roman" w:eastAsia="宋体" w:cs="Times New Roman"/>
    </w:r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imes New Roman" w:hAnsi="Times New Roman" w:eastAsia="宋体" w:cs="Times New Roman"/>
      <w:color w:val="17365D"/>
      <w:spacing w:val="5"/>
      <w:kern w:val="28"/>
      <w:sz w:val="38"/>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宋体" w:cs="Times New Roman"/>
    </w:rPr>
  </w:style>
  <w:style w:type="character" w:customStyle="1" w:styleId="BodyTextChar">
    <w:name w:val="Body Text Char"/>
    <w:basedOn w:val="DefaultParagraphFont"/>
    <w:link w:val="BodyText"/>
    <w:uiPriority w:val="99"/>
    <w:rsid w:val="00AA1D8D"/>
    <w:rPr>
      <w:rFonts w:ascii="Times New Roman" w:hAnsi="Times New Roman" w:eastAsia="宋体"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宋体" w:cs="Times New Roman"/>
    </w:rPr>
  </w:style>
  <w:style w:type="character" w:customStyle="1" w:styleId="BodyText2Char">
    <w:name w:val="Body Text 2 Char"/>
    <w:basedOn w:val="DefaultParagraphFont"/>
    <w:link w:val="BodyText2"/>
    <w:uiPriority w:val="99"/>
    <w:rsid w:val="00AA1D8D"/>
    <w:rPr>
      <w:rFonts w:ascii="Times New Roman" w:hAnsi="Times New Roman" w:eastAsia="宋体"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宋体"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宋体"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宋体"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宋体"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宋体"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宋体"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宋体"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宋体"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宋体"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宋体" w:cs="Times New Roman"/>
      <w:sz w:val="20"/>
      <w:szCs w:val="20"/>
    </w:rPr>
  </w:style>
  <w:style w:type="paragraph" w:styleId="Quote">
    <w:name w:val="Quote"/>
    <w:basedOn w:val="Normal"/>
    <w:next w:val="Normal"/>
    <w:link w:val="QuoteChar"/>
    <w:uiPriority w:val="29"/>
    <w:qFormat/>
    <w:rsid w:val="00FC693F"/>
    <w:rPr>
      <w:rFonts w:ascii="Times New Roman" w:hAnsi="Times New Roman" w:eastAsia="宋体"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宋体"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宋体" w:cs="Times New Roman"/>
      <w:b/>
      <w:bCs/>
    </w:rPr>
  </w:style>
  <w:style w:type="character" w:styleId="Emphasis">
    <w:name w:val="Emphasis"/>
    <w:basedOn w:val="DefaultParagraphFont"/>
    <w:uiPriority w:val="20"/>
    <w:qFormat/>
    <w:rsid w:val="00FC693F"/>
    <w:rPr>
      <w:rFonts w:ascii="Times New Roman" w:hAnsi="Times New Roman" w:eastAsia="宋体"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宋体"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宋体"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宋体"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宋体"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宋体"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宋体"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宋体"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eastAsia="宋体" w:cs="Times New Roman"/>
    </w:rPr>
  </w:style>
  <w:style w:type="table" w:styleId="LightShading">
    <w:name w:val="Light Shading"/>
    <w:basedOn w:val="TableNormal"/>
    <w:uiPriority w:val="60"/>
    <w:rsid w:val="00FC693F"/>
    <w:pPr>
      <w:spacing w:after="0" w:line="240" w:lineRule="auto"/>
    </w:pPr>
    <w:rPr>
      <w:rFonts w:ascii="Times New Roman" w:hAnsi="Times New Roman" w:eastAsia="宋体"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宋体"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宋体"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宋体"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宋体"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宋体"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宋体"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eastAsia="宋体" w:cs="Times New Roman"/>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eastAsia="宋体" w:cs="Times New Roman"/>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eastAsia="宋体" w:cs="Times New Roman"/>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eastAsia="宋体" w:cs="Times New Roman"/>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eastAsia="宋体" w:cs="Times New Roman"/>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eastAsia="宋体" w:cs="Times New Roman"/>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eastAsia="宋体" w:cs="Times New Roman"/>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eastAsia="宋体" w:cs="Times New Roman"/>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eastAsia="宋体" w:cs="Times New Roman"/>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eastAsia="宋体" w:cs="Times New Roman"/>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eastAsia="宋体" w:cs="Times New Roman"/>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eastAsia="宋体" w:cs="Times New Roman"/>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eastAsia="宋体" w:cs="Times New Roman"/>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eastAsia="宋体" w:cs="Times New Roman"/>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List1">
    <w:name w:val="Medium Lis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eastAsia="宋体" w:cs="Times New Roman"/>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eastAsia="宋体" w:cs="Times New Roman"/>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eastAsia="宋体" w:cs="Times New Roman"/>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eastAsia="宋体" w:cs="Times New Roman"/>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eastAsia="宋体" w:cs="Times New Roman"/>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eastAsia="宋体" w:cs="Times New Roman"/>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eastAsia="宋体" w:cs="Times New Roman"/>
    </w:r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eastAsia="宋体" w:cs="Times New Roman"/>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eastAsia="宋体" w:cs="Times New Roman"/>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eastAsia="宋体" w:cs="Times New Roman"/>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eastAsia="宋体" w:cs="Times New Roman"/>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eastAsia="宋体" w:cs="Times New Roman"/>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eastAsia="宋体" w:cs="Times New Roman"/>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eastAsia="宋体" w:cs="Times New Roman"/>
    </w:rPr>
  </w:style>
  <w:style w:type="table" w:styleId="DarkList">
    <w:name w:val="Dark List"/>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宋体"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宋体"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eastAsia="宋体" w:cs="Times New Roman"/>
    </w:rPr>
  </w:style>
  <w:style w:type="numbering" w:default="1" w:styleId="NoList">
    <w:name w:val="No List"/>
    <w:uiPriority w:val="99"/>
    <w:semiHidden/>
    <w:unhideWhenUsed/>
    <w:rPr>
      <w:rFonts w:ascii="Times New Roman" w:hAnsi="Times New Roman" w:eastAsia="宋体" w:cs="Times New Roman"/>
    </w:rPr>
  </w:style>
  <w:style w:type="paragraph" w:styleId="NoSpacing">
    <w:name w:val="No Spacing"/>
    <w:uiPriority w:val="1"/>
    <w:qFormat/>
    <w:rsid w:val="00FC693F"/>
    <w:pPr>
      <w:spacing w:after="0" w:line="240" w:lineRule="auto"/>
    </w:pPr>
    <w:rPr>
      <w:rFonts w:ascii="Times New Roman" w:hAnsi="Times New Roman" w:eastAsia="宋体" w:cs="Times New Roman"/>
    </w:r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宋体" w:cs="Times New Roman"/>
    </w:rPr>
  </w:style>
  <w:style w:type="character" w:customStyle="1" w:styleId="BodyTextChar">
    <w:name w:val="Body Text Char"/>
    <w:basedOn w:val="DefaultParagraphFont"/>
    <w:link w:val="BodyText"/>
    <w:uiPriority w:val="99"/>
    <w:rsid w:val="00AA1D8D"/>
    <w:rPr>
      <w:rFonts w:ascii="Times New Roman" w:hAnsi="Times New Roman" w:eastAsia="宋体"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宋体" w:cs="Times New Roman"/>
    </w:rPr>
  </w:style>
  <w:style w:type="character" w:customStyle="1" w:styleId="BodyText2Char">
    <w:name w:val="Body Text 2 Char"/>
    <w:basedOn w:val="DefaultParagraphFont"/>
    <w:link w:val="BodyText2"/>
    <w:uiPriority w:val="99"/>
    <w:rsid w:val="00AA1D8D"/>
    <w:rPr>
      <w:rFonts w:ascii="Times New Roman" w:hAnsi="Times New Roman" w:eastAsia="宋体"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宋体"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宋体"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宋体"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宋体"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宋体"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宋体"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宋体"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宋体"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宋体"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宋体" w:cs="Times New Roman"/>
      <w:sz w:val="20"/>
      <w:szCs w:val="20"/>
    </w:rPr>
  </w:style>
  <w:style w:type="paragraph" w:styleId="Quote">
    <w:name w:val="Quote"/>
    <w:basedOn w:val="Normal"/>
    <w:next w:val="Normal"/>
    <w:link w:val="QuoteChar"/>
    <w:uiPriority w:val="29"/>
    <w:qFormat/>
    <w:rsid w:val="00FC693F"/>
    <w:rPr>
      <w:rFonts w:ascii="Times New Roman" w:hAnsi="Times New Roman" w:eastAsia="宋体"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宋体"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宋体" w:cs="Times New Roman"/>
      <w:b/>
      <w:bCs/>
    </w:rPr>
  </w:style>
  <w:style w:type="character" w:styleId="Emphasis">
    <w:name w:val="Emphasis"/>
    <w:basedOn w:val="DefaultParagraphFont"/>
    <w:uiPriority w:val="20"/>
    <w:qFormat/>
    <w:rsid w:val="00FC693F"/>
    <w:rPr>
      <w:rFonts w:ascii="Times New Roman" w:hAnsi="Times New Roman" w:eastAsia="宋体"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宋体"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宋体"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宋体"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宋体"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宋体"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宋体"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宋体"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eastAsia="宋体" w:cs="Times New Roman"/>
    </w:rPr>
  </w:style>
  <w:style w:type="table" w:styleId="LightShading">
    <w:name w:val="Light Shading"/>
    <w:basedOn w:val="TableNormal"/>
    <w:uiPriority w:val="60"/>
    <w:rsid w:val="00FC693F"/>
    <w:pPr>
      <w:spacing w:after="0" w:line="240" w:lineRule="auto"/>
    </w:pPr>
    <w:rPr>
      <w:rFonts w:ascii="Times New Roman" w:hAnsi="Times New Roman" w:eastAsia="宋体"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宋体"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宋体"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宋体"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宋体"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宋体"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宋体"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eastAsia="宋体" w:cs="Times New Roman"/>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eastAsia="宋体" w:cs="Times New Roman"/>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eastAsia="宋体" w:cs="Times New Roman"/>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eastAsia="宋体" w:cs="Times New Roman"/>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eastAsia="宋体" w:cs="Times New Roman"/>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eastAsia="宋体" w:cs="Times New Roman"/>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eastAsia="宋体" w:cs="Times New Roman"/>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eastAsia="宋体" w:cs="Times New Roman"/>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eastAsia="宋体" w:cs="Times New Roman"/>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eastAsia="宋体" w:cs="Times New Roman"/>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eastAsia="宋体" w:cs="Times New Roman"/>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eastAsia="宋体" w:cs="Times New Roman"/>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eastAsia="宋体" w:cs="Times New Roman"/>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eastAsia="宋体" w:cs="Times New Roman"/>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List1">
    <w:name w:val="Medium Lis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eastAsia="宋体" w:cs="Times New Roman"/>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eastAsia="宋体" w:cs="Times New Roman"/>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eastAsia="宋体" w:cs="Times New Roman"/>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eastAsia="宋体" w:cs="Times New Roman"/>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eastAsia="宋体" w:cs="Times New Roman"/>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eastAsia="宋体" w:cs="Times New Roman"/>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eastAsia="宋体" w:cs="Times New Roman"/>
    </w:r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eastAsia="宋体" w:cs="Times New Roman"/>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eastAsia="宋体" w:cs="Times New Roman"/>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eastAsia="宋体" w:cs="Times New Roman"/>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eastAsia="宋体" w:cs="Times New Roman"/>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eastAsia="宋体" w:cs="Times New Roman"/>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eastAsia="宋体" w:cs="Times New Roman"/>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eastAsia="宋体" w:cs="Times New Roman"/>
    </w:rPr>
  </w:style>
  <w:style w:type="table" w:styleId="DarkList">
    <w:name w:val="Dark List"/>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ure.com/articles/s41467-026-73817-3" TargetMode="External"/><Relationship Id="rId12" Type="http://schemas.openxmlformats.org/officeDocument/2006/relationships/hyperlink" Target="https://cphoto.fit.vutbr.cz/solar/data/paper/polasek21solar.pdf" TargetMode="External"/><Relationship Id="rId13" Type="http://schemas.openxmlformats.org/officeDocument/2006/relationships/hyperlink" Target="https://arxiv.org/html/2609.15035v1" TargetMode="External"/><Relationship Id="rId14" Type="http://schemas.openxmlformats.org/officeDocument/2006/relationships/hyperlink" Target="https://arxiv.org/html/2607.12954v1" TargetMode="External"/><Relationship Id="rId15" Type="http://schemas.openxmlformats.org/officeDocument/2006/relationships/hyperlink" Target="https://www.tynxb.org.cn/CN/10.19912/j.0254-0096.tynxb.2023-0340" TargetMode="External"/><Relationship Id="rId16" Type="http://schemas.openxmlformats.org/officeDocument/2006/relationships/hyperlink" Target="https://doi.org/10.1016/j.solener.2022.08.042" TargetMode="External"/><Relationship Id="rId17" Type="http://schemas.openxmlformats.org/officeDocument/2006/relationships/hyperlink" Target="https://eprints.whiterose.ac.uk/id/eprint/240947/1/1-s2.0-S235248472500873X-main.pdf" TargetMode="External"/><Relationship Id="rId18" Type="http://schemas.openxmlformats.org/officeDocument/2006/relationships/hyperlink" Target="https://www.nature.com/articles/s41598-026-51529-4" TargetMode="External"/><Relationship Id="rId19" Type="http://schemas.openxmlformats.org/officeDocument/2006/relationships/hyperlink" Target="https://www.nature.com/articles/s41598-026-49373-7" TargetMode="External"/><Relationship Id="rId20" Type="http://schemas.openxmlformats.org/officeDocument/2006/relationships/hyperlink" Target="https://doi.org/10.1016/j.epsr.2026.113181" TargetMode="External"/><Relationship Id="rId21" Type="http://schemas.openxmlformats.org/officeDocument/2006/relationships/hyperlink" Target="https://arxiv.org/abs/2108.04058" TargetMode="External"/><Relationship Id="rId22" Type="http://schemas.openxmlformats.org/officeDocument/2006/relationships/hyperlink" Target="https://www.sciencedirect.com/science/article/pii/S0378779626012010" TargetMode="External"/><Relationship Id="rId23" Type="http://schemas.openxmlformats.org/officeDocument/2006/relationships/hyperlink" Target="https://www.mdpi.com/1999-5903/18/6/291" TargetMode="External"/><Relationship Id="rId24" Type="http://schemas.openxmlformats.org/officeDocument/2006/relationships/hyperlink" Target="https://www.sciencedirect.com/science/article/pii/S2772940026000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园区光伏预测研究问题的定向证据核查</dc:title>
  <dc:subject>定向证据核查R1_20261013</dc:subject>
  <dc:creator/>
  <cp:keywords/>
  <dc:description>2026-10-13修订；来源核验边界见修改说明。</dc:description>
  <cp:lastModifiedBy/>
  <cp:revision>1</cp:revision>
  <dcterms:created xsi:type="dcterms:W3CDTF">2013-12-23T23:15:00Z</dcterms:created>
  <dcterms:modified xsi:type="dcterms:W3CDTF">2013-12-23T23:15:00Z</dcterms:modified>
  <cp:category/>
</cp:coreProperties>
</file>