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eastAsia="宋体" w:cs="Times New Roman"/>
        </w:rPr>
        <w:t>园区光伏功率预测需求、研究现状与待研究问题</w:t>
      </w:r>
    </w:p>
    <w:p>
      <w:pPr>
        <w:jc w:val="center"/>
      </w:pPr>
      <w:r>
        <w:rPr>
          <w:rFonts w:ascii="Times New Roman" w:hAnsi="Times New Roman" w:eastAsia="宋体" w:cs="Times New Roman"/>
        </w:rPr>
        <w:t>中英文文献与标准综述（第二版）</w:t>
      </w:r>
    </w:p>
    <w:p>
      <w:pPr>
        <w:jc w:val="center"/>
      </w:pPr>
      <w:r>
        <w:rPr>
          <w:rFonts w:ascii="Times New Roman" w:hAnsi="Times New Roman" w:eastAsia="宋体" w:cs="Times New Roman"/>
        </w:rPr>
        <w:t>修订日期：2026年10月13日</w:t>
      </w:r>
    </w:p>
    <w:p>
      <w:pPr>
        <w:pStyle w:val="Heading1"/>
      </w:pPr>
      <w:r>
        <w:rPr>
          <w:rFonts w:ascii="Times New Roman" w:hAnsi="Times New Roman" w:eastAsia="宋体" w:cs="Times New Roman"/>
        </w:rPr>
        <w:t>摘要</w:t>
      </w:r>
    </w:p>
    <w:p>
      <w:pPr>
        <w:ind w:firstLine="440"/>
      </w:pPr>
      <w:r>
        <w:rPr>
          <w:rFonts w:ascii="Times New Roman" w:hAnsi="Times New Roman" w:eastAsia="宋体" w:cs="Times New Roman"/>
        </w:rPr>
        <w:t>园区光伏功率预测需要同时考虑信息可用性、设备与空间差异及运行用途。多屋顶朝向、局部遮挡、逆变器约束和聚合层级可能改变历史功率与气象信息的预测价值；这些条件是否存在，必须由研究对象的实测资料确认。本文综合中英文研究与相关标准，梳理多源融合、预测验证、模型解释、概率预测、关键突降和运行价值的进展，并重点比较五项与拟研究主题相关的原始研究。现有研究已涉及多时距信息融合、建筑遮挡解释及预测驱动调度，研究定位应进一步落在统一条件下的信息增益、归因一致性及场景适用边界。本文提出三项待检验假设：预报信息的相对增益随提前量变化、天气和季节调节这一关系、归因强度与重训练消融增益存在可重复的对应关系。附录给出15分钟数据下的实施方案，增加树模型与气象—光伏物理转换基准，并区分同一模型的逐提前量评价和不同覆盖窗口的模型选型。本文不包含新的实证结果；经济价值与空间外推结论分别以运行数据和分区数据为前提。</w:t>
      </w:r>
    </w:p>
    <w:p>
      <w:pPr>
        <w:ind w:firstLine="440"/>
      </w:pPr>
      <w:r>
        <w:rPr>
          <w:rFonts w:ascii="Times New Roman" w:hAnsi="Times New Roman" w:eastAsia="宋体" w:cs="Times New Roman"/>
        </w:rPr>
        <w:t>关键词：园区光伏；功率预测；预测时距；天气预报；SHAP；消融实验</w:t>
      </w:r>
    </w:p>
    <w:p>
      <w:pPr>
        <w:pStyle w:val="Heading1"/>
      </w:pPr>
      <w:r>
        <w:rPr>
          <w:rFonts w:ascii="Times New Roman" w:hAnsi="Times New Roman" w:eastAsia="宋体" w:cs="Times New Roman"/>
        </w:rPr>
        <w:t>1 引言与文献范围</w:t>
      </w:r>
    </w:p>
    <w:p>
      <w:pPr>
        <w:ind w:firstLine="440"/>
      </w:pPr>
      <w:r>
        <w:rPr>
          <w:rFonts w:ascii="Times New Roman" w:hAnsi="Times New Roman" w:eastAsia="宋体" w:cs="Times New Roman"/>
        </w:rPr>
        <w:t>园区光伏可服务于自发自用、储能调度、可移负荷安排、需求响应和电力交易。国家零碳园区建设文件提出提升用能负荷监控、预测与调配能力；园区虚拟电厂研究也已将光伏预测接入日前—日内两阶段调度。由此，预测需求应从实际决策出发，而不能只由模型输出长度或总体准确率确定。[1,2]</w:t>
      </w:r>
    </w:p>
    <w:p>
      <w:pPr>
        <w:ind w:firstLine="440"/>
      </w:pPr>
      <w:r>
        <w:rPr>
          <w:rFonts w:ascii="Times New Roman" w:hAnsi="Times New Roman" w:eastAsia="宋体" w:cs="Times New Roman"/>
        </w:rPr>
        <w:t>本文采用叙述性文献综合，围绕园区预测用途、时间参数、历史与预报信息融合、解释验证、关键突降及运行价值组织中英文研究与标准。资料包括相关论文、官方标准信息、政策和行业报告；不同论断依据可获得的正文、摘要或官方信息界定适用范围。本文不报告系统性数据库筛选数量或检索覆盖率，不以未纳入某类研究证明该领域不存在相关成果。标准要求、综述归纳、单站或多站预测实验、园区调度算例与微电网仿真分别属于不同证据层级。</w:t>
      </w:r>
    </w:p>
    <w:p>
      <w:pPr>
        <w:pStyle w:val="Heading1"/>
      </w:pPr>
      <w:r>
        <w:rPr>
          <w:rFonts w:ascii="Times New Roman" w:hAnsi="Times New Roman" w:eastAsia="宋体" w:cs="Times New Roman"/>
        </w:rPr>
        <w:t>2 园区预测需求与概念边界</w:t>
      </w:r>
    </w:p>
    <w:p>
      <w:pPr>
        <w:pStyle w:val="Heading2"/>
      </w:pPr>
      <w:r>
        <w:rPr>
          <w:rFonts w:ascii="Times New Roman" w:hAnsi="Times New Roman" w:eastAsia="宋体" w:cs="Times New Roman"/>
        </w:rPr>
        <w:t>2.1 四类时间参数</w:t>
      </w:r>
    </w:p>
    <w:p>
      <w:pPr>
        <w:ind w:firstLine="440"/>
      </w:pPr>
      <w:r>
        <w:rPr>
          <w:rFonts w:ascii="Times New Roman" w:hAnsi="Times New Roman" w:eastAsia="宋体" w:cs="Times New Roman"/>
        </w:rPr>
        <w:t>预测时距描述从发布时刻向未来覆盖的长度；输出时间间隔描述相邻输出点的间距或各输出区间的长度；更新周期描述重新发布预测的频率；历史窗口描述模型使用的过去数据长度。IEA PVPS报告第3.4节将时距、时空分辨率与更新频率列为预测服务的重要特征，说明这些参数需要结合应用定义。[3]</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参数</w:t>
            </w:r>
          </w:p>
        </w:tc>
        <w:tc>
          <w:tcPr>
            <w:tcW w:type="dxa" w:w="3572"/>
            <w:vAlign w:val="center"/>
            <w:shd w:fill="E8EFF7"/>
          </w:tcPr>
          <w:p>
            <w:pPr>
              <w:spacing w:line="276" w:lineRule="auto" w:after="80" w:before="80"/>
            </w:pPr>
            <w:r>
              <w:rPr>
                <w:rFonts w:ascii="Times New Roman" w:hAnsi="Times New Roman" w:eastAsia="宋体" w:cs="Times New Roman"/>
                <w:b/>
                <w:sz w:val="18"/>
              </w:rPr>
              <w:t>含义</w:t>
            </w:r>
          </w:p>
        </w:tc>
        <w:tc>
          <w:tcPr>
            <w:tcW w:type="dxa" w:w="4195"/>
            <w:vAlign w:val="center"/>
            <w:shd w:fill="E8EFF7"/>
          </w:tcPr>
          <w:p>
            <w:pPr>
              <w:spacing w:line="276" w:lineRule="auto" w:after="80" w:before="80"/>
            </w:pPr>
            <w:r>
              <w:rPr>
                <w:rFonts w:ascii="Times New Roman" w:hAnsi="Times New Roman" w:eastAsia="宋体" w:cs="Times New Roman"/>
                <w:b/>
                <w:sz w:val="18"/>
              </w:rPr>
              <w:t>15分钟数据下的示例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预测时距H</w:t>
            </w:r>
          </w:p>
        </w:tc>
        <w:tc>
          <w:tcPr>
            <w:tcW w:type="dxa" w:w="3572"/>
            <w:vAlign w:val="center"/>
          </w:tcPr>
          <w:p>
            <w:pPr>
              <w:spacing w:line="276" w:lineRule="auto" w:after="80" w:before="80"/>
            </w:pPr>
            <w:r>
              <w:rPr>
                <w:rFonts w:ascii="Times New Roman" w:hAnsi="Times New Roman" w:eastAsia="宋体" w:cs="Times New Roman"/>
                <w:b w:val="0"/>
                <w:sz w:val="18"/>
              </w:rPr>
              <w:t>发布时刻至预测覆盖终点的时间长度</w:t>
            </w:r>
          </w:p>
        </w:tc>
        <w:tc>
          <w:tcPr>
            <w:tcW w:type="dxa" w:w="4195"/>
            <w:vAlign w:val="center"/>
          </w:tcPr>
          <w:p>
            <w:pPr>
              <w:spacing w:line="276" w:lineRule="auto" w:after="80" w:before="80"/>
            </w:pPr>
            <w:r>
              <w:rPr>
                <w:rFonts w:ascii="Times New Roman" w:hAnsi="Times New Roman" w:eastAsia="宋体" w:cs="Times New Roman"/>
                <w:b w:val="0"/>
                <w:sz w:val="18"/>
              </w:rPr>
              <w:t>从发布时刻之后连续输出16个区间，覆盖4小时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输出间隔Δt</w:t>
            </w:r>
          </w:p>
        </w:tc>
        <w:tc>
          <w:tcPr>
            <w:tcW w:type="dxa" w:w="3572"/>
            <w:vAlign w:val="center"/>
          </w:tcPr>
          <w:p>
            <w:pPr>
              <w:spacing w:line="276" w:lineRule="auto" w:after="80" w:before="80"/>
            </w:pPr>
            <w:r>
              <w:rPr>
                <w:rFonts w:ascii="Times New Roman" w:hAnsi="Times New Roman" w:eastAsia="宋体" w:cs="Times New Roman"/>
                <w:b w:val="0"/>
                <w:sz w:val="18"/>
              </w:rPr>
              <w:t>相邻预测时刻间距或输出区间长度</w:t>
            </w:r>
          </w:p>
        </w:tc>
        <w:tc>
          <w:tcPr>
            <w:tcW w:type="dxa" w:w="4195"/>
            <w:vAlign w:val="center"/>
          </w:tcPr>
          <w:p>
            <w:pPr>
              <w:spacing w:line="276" w:lineRule="auto" w:after="80" w:before="80"/>
            </w:pPr>
            <w:r>
              <w:rPr>
                <w:rFonts w:ascii="Times New Roman" w:hAnsi="Times New Roman" w:eastAsia="宋体" w:cs="Times New Roman"/>
                <w:b w:val="0"/>
                <w:sz w:val="18"/>
              </w:rPr>
              <w:t>每15分钟一个功率值；需注明瞬时值或区间平均值</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更新周期τ</w:t>
            </w:r>
          </w:p>
        </w:tc>
        <w:tc>
          <w:tcPr>
            <w:tcW w:type="dxa" w:w="3572"/>
            <w:vAlign w:val="center"/>
          </w:tcPr>
          <w:p>
            <w:pPr>
              <w:spacing w:line="276" w:lineRule="auto" w:after="80" w:before="80"/>
            </w:pPr>
            <w:r>
              <w:rPr>
                <w:rFonts w:ascii="Times New Roman" w:hAnsi="Times New Roman" w:eastAsia="宋体" w:cs="Times New Roman"/>
                <w:b w:val="0"/>
                <w:sz w:val="18"/>
              </w:rPr>
              <w:t>两次预测发布时间之间的间隔</w:t>
            </w:r>
          </w:p>
        </w:tc>
        <w:tc>
          <w:tcPr>
            <w:tcW w:type="dxa" w:w="4195"/>
            <w:vAlign w:val="center"/>
          </w:tcPr>
          <w:p>
            <w:pPr>
              <w:spacing w:line="276" w:lineRule="auto" w:after="80" w:before="80"/>
            </w:pPr>
            <w:r>
              <w:rPr>
                <w:rFonts w:ascii="Times New Roman" w:hAnsi="Times New Roman" w:eastAsia="宋体" w:cs="Times New Roman"/>
                <w:b w:val="0"/>
                <w:sz w:val="18"/>
              </w:rPr>
              <w:t>每15分钟发布一次新的4小时预测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历史窗口L</w:t>
            </w:r>
          </w:p>
        </w:tc>
        <w:tc>
          <w:tcPr>
            <w:tcW w:type="dxa" w:w="3572"/>
            <w:vAlign w:val="center"/>
          </w:tcPr>
          <w:p>
            <w:pPr>
              <w:spacing w:line="276" w:lineRule="auto" w:after="80" w:before="80"/>
            </w:pPr>
            <w:r>
              <w:rPr>
                <w:rFonts w:ascii="Times New Roman" w:hAnsi="Times New Roman" w:eastAsia="宋体" w:cs="Times New Roman"/>
                <w:b w:val="0"/>
                <w:sz w:val="18"/>
              </w:rPr>
              <w:t>可用历史输入覆盖的时长</w:t>
            </w:r>
          </w:p>
        </w:tc>
        <w:tc>
          <w:tcPr>
            <w:tcW w:type="dxa" w:w="4195"/>
            <w:vAlign w:val="center"/>
          </w:tcPr>
          <w:p>
            <w:pPr>
              <w:spacing w:line="276" w:lineRule="auto" w:after="80" w:before="80"/>
            </w:pPr>
            <w:r>
              <w:rPr>
                <w:rFonts w:ascii="Times New Roman" w:hAnsi="Times New Roman" w:eastAsia="宋体" w:cs="Times New Roman"/>
                <w:b w:val="0"/>
                <w:sz w:val="18"/>
              </w:rPr>
              <w:t>过去24小时对应96个15分钟区间</w:t>
            </w:r>
          </w:p>
        </w:tc>
      </w:tr>
    </w:tbl>
    <w:p>
      <w:pPr>
        <w:spacing w:after="0"/>
      </w:pPr>
    </w:p>
    <w:p>
      <w:pPr>
        <w:ind w:firstLine="440"/>
      </w:pPr>
      <w:r>
        <w:rPr>
          <w:rFonts w:ascii="Times New Roman" w:hAnsi="Times New Roman" w:eastAsia="宋体" w:cs="Times New Roman"/>
        </w:rPr>
        <w:t>若输出是从发布时刻之后开始的连续等长区间，则H=KΔt，K为输出区间数；若采用瞬时采样点，则还应说明首点提前量和时间戳含义，不能仅凭点数确定窗口端点。滚动24小时预测也不必然覆盖次日00:00—24:00：完整次日计划的所需覆盖长度取决于计划提交时刻。</w:t>
      </w:r>
    </w:p>
    <w:p>
      <w:pPr>
        <w:pStyle w:val="Heading2"/>
      </w:pPr>
      <w:r>
        <w:rPr>
          <w:rFonts w:ascii="Times New Roman" w:hAnsi="Times New Roman" w:eastAsia="宋体" w:cs="Times New Roman"/>
        </w:rPr>
        <w:t>2.2 预测对象与运行用途</w:t>
      </w:r>
    </w:p>
    <w:p>
      <w:pPr>
        <w:ind w:firstLine="440"/>
      </w:pPr>
      <w:r>
        <w:rPr>
          <w:rFonts w:ascii="Times New Roman" w:hAnsi="Times New Roman" w:eastAsia="宋体" w:cs="Times New Roman"/>
        </w:rPr>
        <w:t>预测交流侧实发功率、可用功率和并网点净负荷是不同任务。实发功率受限发、故障、检修和逆变器约束影响；可用功率需要明确其定义及估计方法；净负荷还涉及负荷预测。必须在建模前固定测点、装机容量口径、设备状态和时间戳。GB/T 19964—2024、GB/T 40607—2021为并网与调度侧预测提供技术框架，NB/T 32031—2025规定预测系统总体要求、基本功能与性能要求，适用对象包括并网光伏电站、分布式光伏聚合商、调度端和集控端。标准分类与功能要求可作为工程基准，但不能直接推导某个园区经济上最优的预测时距。[4,5,6]</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需求</w:t>
            </w:r>
          </w:p>
        </w:tc>
        <w:tc>
          <w:tcPr>
            <w:tcW w:type="dxa" w:w="3572"/>
            <w:vAlign w:val="center"/>
            <w:shd w:fill="E8EFF7"/>
          </w:tcPr>
          <w:p>
            <w:pPr>
              <w:spacing w:line="276" w:lineRule="auto" w:after="80" w:before="80"/>
            </w:pPr>
            <w:r>
              <w:rPr>
                <w:rFonts w:ascii="Times New Roman" w:hAnsi="Times New Roman" w:eastAsia="宋体" w:cs="Times New Roman"/>
                <w:b/>
                <w:sz w:val="18"/>
              </w:rPr>
              <w:t>应明确的内容</w:t>
            </w:r>
          </w:p>
        </w:tc>
        <w:tc>
          <w:tcPr>
            <w:tcW w:type="dxa" w:w="4195"/>
            <w:vAlign w:val="center"/>
            <w:shd w:fill="E8EFF7"/>
          </w:tcPr>
          <w:p>
            <w:pPr>
              <w:spacing w:line="276" w:lineRule="auto" w:after="80" w:before="80"/>
            </w:pPr>
            <w:r>
              <w:rPr>
                <w:rFonts w:ascii="Times New Roman" w:hAnsi="Times New Roman" w:eastAsia="宋体" w:cs="Times New Roman"/>
                <w:b/>
                <w:sz w:val="18"/>
              </w:rPr>
              <w:t>建议评价方式</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对象与测量边界</w:t>
            </w:r>
          </w:p>
        </w:tc>
        <w:tc>
          <w:tcPr>
            <w:tcW w:type="dxa" w:w="3572"/>
            <w:vAlign w:val="center"/>
          </w:tcPr>
          <w:p>
            <w:pPr>
              <w:spacing w:line="276" w:lineRule="auto" w:after="80" w:before="80"/>
            </w:pPr>
            <w:r>
              <w:rPr>
                <w:rFonts w:ascii="Times New Roman" w:hAnsi="Times New Roman" w:eastAsia="宋体" w:cs="Times New Roman"/>
                <w:b w:val="0"/>
                <w:sz w:val="18"/>
              </w:rPr>
              <w:t>实发/可用功率、并网点、交流容量、限发及故障标记</w:t>
            </w:r>
          </w:p>
        </w:tc>
        <w:tc>
          <w:tcPr>
            <w:tcW w:type="dxa" w:w="4195"/>
            <w:vAlign w:val="center"/>
          </w:tcPr>
          <w:p>
            <w:pPr>
              <w:spacing w:line="276" w:lineRule="auto" w:after="80" w:before="80"/>
            </w:pPr>
            <w:r>
              <w:rPr>
                <w:rFonts w:ascii="Times New Roman" w:hAnsi="Times New Roman" w:eastAsia="宋体" w:cs="Times New Roman"/>
                <w:b w:val="0"/>
                <w:sz w:val="18"/>
              </w:rPr>
              <w:t>在一致测量口径下评价；异常状态单独报告</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时间匹配</w:t>
            </w:r>
          </w:p>
        </w:tc>
        <w:tc>
          <w:tcPr>
            <w:tcW w:type="dxa" w:w="3572"/>
            <w:vAlign w:val="center"/>
          </w:tcPr>
          <w:p>
            <w:pPr>
              <w:spacing w:line="276" w:lineRule="auto" w:after="80" w:before="80"/>
            </w:pPr>
            <w:r>
              <w:rPr>
                <w:rFonts w:ascii="Times New Roman" w:hAnsi="Times New Roman" w:eastAsia="宋体" w:cs="Times New Roman"/>
                <w:b w:val="0"/>
                <w:sz w:val="18"/>
              </w:rPr>
              <w:t>决策截止、响应时间、计划终点、输出间隔及更新周期</w:t>
            </w:r>
          </w:p>
        </w:tc>
        <w:tc>
          <w:tcPr>
            <w:tcW w:type="dxa" w:w="4195"/>
            <w:vAlign w:val="center"/>
          </w:tcPr>
          <w:p>
            <w:pPr>
              <w:spacing w:line="276" w:lineRule="auto" w:after="80" w:before="80"/>
            </w:pPr>
            <w:r>
              <w:rPr>
                <w:rFonts w:ascii="Times New Roman" w:hAnsi="Times New Roman" w:eastAsia="宋体" w:cs="Times New Roman"/>
                <w:b w:val="0"/>
                <w:sz w:val="18"/>
              </w:rPr>
              <w:t>检查预测是否准时可用、是否覆盖决策窗口</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数值精度</w:t>
            </w:r>
          </w:p>
        </w:tc>
        <w:tc>
          <w:tcPr>
            <w:tcW w:type="dxa" w:w="3572"/>
            <w:vAlign w:val="center"/>
          </w:tcPr>
          <w:p>
            <w:pPr>
              <w:spacing w:line="276" w:lineRule="auto" w:after="80" w:before="80"/>
            </w:pPr>
            <w:r>
              <w:rPr>
                <w:rFonts w:ascii="Times New Roman" w:hAnsi="Times New Roman" w:eastAsia="宋体" w:cs="Times New Roman"/>
                <w:b w:val="0"/>
                <w:sz w:val="18"/>
              </w:rPr>
              <w:t>逐点误差、偏差方向、窗口电量偏差</w:t>
            </w:r>
          </w:p>
        </w:tc>
        <w:tc>
          <w:tcPr>
            <w:tcW w:type="dxa" w:w="4195"/>
            <w:vAlign w:val="center"/>
          </w:tcPr>
          <w:p>
            <w:pPr>
              <w:spacing w:line="276" w:lineRule="auto" w:after="80" w:before="80"/>
            </w:pPr>
            <w:r>
              <w:rPr>
                <w:rFonts w:ascii="Times New Roman" w:hAnsi="Times New Roman" w:eastAsia="宋体" w:cs="Times New Roman"/>
                <w:b w:val="0"/>
                <w:sz w:val="18"/>
              </w:rPr>
              <w:t>MAE、RMSE、容量归一化误差、MBE及基准技能</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关键天气事件</w:t>
            </w:r>
          </w:p>
        </w:tc>
        <w:tc>
          <w:tcPr>
            <w:tcW w:type="dxa" w:w="3572"/>
            <w:vAlign w:val="center"/>
          </w:tcPr>
          <w:p>
            <w:pPr>
              <w:spacing w:line="276" w:lineRule="auto" w:after="80" w:before="80"/>
            </w:pPr>
            <w:r>
              <w:rPr>
                <w:rFonts w:ascii="Times New Roman" w:hAnsi="Times New Roman" w:eastAsia="宋体" w:cs="Times New Roman"/>
                <w:b w:val="0"/>
                <w:sz w:val="18"/>
              </w:rPr>
              <w:t>突降幅度、持续时间、时间位置及预警要求</w:t>
            </w:r>
          </w:p>
        </w:tc>
        <w:tc>
          <w:tcPr>
            <w:tcW w:type="dxa" w:w="4195"/>
            <w:vAlign w:val="center"/>
          </w:tcPr>
          <w:p>
            <w:pPr>
              <w:spacing w:line="276" w:lineRule="auto" w:after="80" w:before="80"/>
            </w:pPr>
            <w:r>
              <w:rPr>
                <w:rFonts w:ascii="Times New Roman" w:hAnsi="Times New Roman" w:eastAsia="宋体" w:cs="Times New Roman"/>
                <w:b w:val="0"/>
                <w:sz w:val="18"/>
              </w:rPr>
              <w:t>事件幅度/时间误差、查准率、召回率和F1</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输入与解释</w:t>
            </w:r>
          </w:p>
        </w:tc>
        <w:tc>
          <w:tcPr>
            <w:tcW w:type="dxa" w:w="3572"/>
            <w:vAlign w:val="center"/>
          </w:tcPr>
          <w:p>
            <w:pPr>
              <w:spacing w:line="276" w:lineRule="auto" w:after="80" w:before="80"/>
            </w:pPr>
            <w:r>
              <w:rPr>
                <w:rFonts w:ascii="Times New Roman" w:hAnsi="Times New Roman" w:eastAsia="宋体" w:cs="Times New Roman"/>
                <w:b w:val="0"/>
                <w:sz w:val="18"/>
              </w:rPr>
              <w:t>历史功率、实测气象、预报气象的可用性及增益</w:t>
            </w:r>
          </w:p>
        </w:tc>
        <w:tc>
          <w:tcPr>
            <w:tcW w:type="dxa" w:w="4195"/>
            <w:vAlign w:val="center"/>
          </w:tcPr>
          <w:p>
            <w:pPr>
              <w:spacing w:line="276" w:lineRule="auto" w:after="80" w:before="80"/>
            </w:pPr>
            <w:r>
              <w:rPr>
                <w:rFonts w:ascii="Times New Roman" w:hAnsi="Times New Roman" w:eastAsia="宋体" w:cs="Times New Roman"/>
                <w:b w:val="0"/>
                <w:sz w:val="18"/>
              </w:rPr>
              <w:t>分层SHAP、重训练消融、输入质量敏感性</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不确定性与运行</w:t>
            </w:r>
          </w:p>
        </w:tc>
        <w:tc>
          <w:tcPr>
            <w:tcW w:type="dxa" w:w="3572"/>
            <w:vAlign w:val="center"/>
          </w:tcPr>
          <w:p>
            <w:pPr>
              <w:spacing w:line="276" w:lineRule="auto" w:after="80" w:before="80"/>
            </w:pPr>
            <w:r>
              <w:rPr>
                <w:rFonts w:ascii="Times New Roman" w:hAnsi="Times New Roman" w:eastAsia="宋体" w:cs="Times New Roman"/>
                <w:b w:val="0"/>
                <w:sz w:val="18"/>
              </w:rPr>
              <w:t>概率校准、储能与购电风险、调度收益</w:t>
            </w:r>
          </w:p>
        </w:tc>
        <w:tc>
          <w:tcPr>
            <w:tcW w:type="dxa" w:w="4195"/>
            <w:vAlign w:val="center"/>
          </w:tcPr>
          <w:p>
            <w:pPr>
              <w:spacing w:line="276" w:lineRule="auto" w:after="80" w:before="80"/>
            </w:pPr>
            <w:r>
              <w:rPr>
                <w:rFonts w:ascii="Times New Roman" w:hAnsi="Times New Roman" w:eastAsia="宋体" w:cs="Times New Roman"/>
                <w:b w:val="0"/>
                <w:sz w:val="18"/>
              </w:rPr>
              <w:t>区间覆盖率与宽度、概率评分；有运行数据后做回测</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服务可靠性</w:t>
            </w:r>
          </w:p>
        </w:tc>
        <w:tc>
          <w:tcPr>
            <w:tcW w:type="dxa" w:w="3572"/>
            <w:vAlign w:val="center"/>
          </w:tcPr>
          <w:p>
            <w:pPr>
              <w:spacing w:line="276" w:lineRule="auto" w:after="80" w:before="80"/>
            </w:pPr>
            <w:r>
              <w:rPr>
                <w:rFonts w:ascii="Times New Roman" w:hAnsi="Times New Roman" w:eastAsia="宋体" w:cs="Times New Roman"/>
                <w:b w:val="0"/>
                <w:sz w:val="18"/>
              </w:rPr>
              <w:t>数据延迟、缺测、设备变化、回退与恢复</w:t>
            </w:r>
          </w:p>
        </w:tc>
        <w:tc>
          <w:tcPr>
            <w:tcW w:type="dxa" w:w="4195"/>
            <w:vAlign w:val="center"/>
          </w:tcPr>
          <w:p>
            <w:pPr>
              <w:spacing w:line="276" w:lineRule="auto" w:after="80" w:before="80"/>
            </w:pPr>
            <w:r>
              <w:rPr>
                <w:rFonts w:ascii="Times New Roman" w:hAnsi="Times New Roman" w:eastAsia="宋体" w:cs="Times New Roman"/>
                <w:b w:val="0"/>
                <w:sz w:val="18"/>
              </w:rPr>
              <w:t>完整率、按时发布率、回退效果及跨季节性能</w:t>
            </w:r>
          </w:p>
        </w:tc>
      </w:tr>
    </w:tbl>
    <w:p>
      <w:pPr>
        <w:spacing w:after="0"/>
      </w:pPr>
    </w:p>
    <w:p>
      <w:pPr>
        <w:ind w:firstLine="440"/>
      </w:pPr>
      <w:r>
        <w:rPr>
          <w:rFonts w:ascii="Times New Roman" w:hAnsi="Times New Roman" w:eastAsia="宋体" w:cs="Times New Roman"/>
        </w:rPr>
        <w:t>准确性、变量重要性和输入精度也应分别讨论。准确性描述预测与实测的偏差；SHAP描述模型在给定解释设置下的归因；输入精度描述测量或预报与真实气象量的误差。归因较大不等于该输入精度已足够，也不能直接推出传感器精度门槛。</w:t>
      </w:r>
    </w:p>
    <w:p>
      <w:pPr>
        <w:pStyle w:val="Heading2"/>
      </w:pPr>
      <w:r>
        <w:rPr>
          <w:rFonts w:ascii="Times New Roman" w:hAnsi="Times New Roman" w:eastAsia="宋体" w:cs="Times New Roman"/>
        </w:rPr>
        <w:t>2.3 园区场景如何改变预测问题</w:t>
      </w:r>
    </w:p>
    <w:p>
      <w:pPr>
        <w:ind w:firstLine="440"/>
      </w:pPr>
      <w:r>
        <w:rPr>
          <w:rFonts w:ascii="Times New Roman" w:hAnsi="Times New Roman" w:eastAsia="宋体" w:cs="Times New Roman"/>
        </w:rPr>
        <w:t>本文讨论的是同一园区内服务于共同运行决策的并网光伏系统，不将“园区”视为固定的气候、设备或市场类型。园区系统可能由多个屋顶或车棚组成，也可能只有一个统一测点。建筑遮挡及分布式空间关系已有研究依据，但不能据此假设目标园区一定具有这些特征。[7,8,9]</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场景条件</w:t>
            </w:r>
          </w:p>
        </w:tc>
        <w:tc>
          <w:tcPr>
            <w:tcW w:type="dxa" w:w="2324"/>
            <w:vAlign w:val="center"/>
            <w:shd w:fill="E8EFF7"/>
          </w:tcPr>
          <w:p>
            <w:pPr>
              <w:spacing w:line="276" w:lineRule="auto" w:after="80" w:before="80"/>
            </w:pPr>
            <w:r>
              <w:rPr>
                <w:rFonts w:ascii="Times New Roman" w:hAnsi="Times New Roman" w:eastAsia="宋体" w:cs="Times New Roman"/>
                <w:b/>
                <w:sz w:val="18"/>
              </w:rPr>
              <w:t>对预测问题的影响</w:t>
            </w:r>
          </w:p>
        </w:tc>
        <w:tc>
          <w:tcPr>
            <w:tcW w:type="dxa" w:w="2608"/>
            <w:vAlign w:val="center"/>
            <w:shd w:fill="E8EFF7"/>
          </w:tcPr>
          <w:p>
            <w:pPr>
              <w:spacing w:line="276" w:lineRule="auto" w:after="80" w:before="80"/>
            </w:pPr>
            <w:r>
              <w:rPr>
                <w:rFonts w:ascii="Times New Roman" w:hAnsi="Times New Roman" w:eastAsia="宋体" w:cs="Times New Roman"/>
                <w:b/>
                <w:sz w:val="18"/>
              </w:rPr>
              <w:t>确认所需资料</w:t>
            </w:r>
          </w:p>
        </w:tc>
        <w:tc>
          <w:tcPr>
            <w:tcW w:type="dxa" w:w="2608"/>
            <w:vAlign w:val="center"/>
            <w:shd w:fill="E8EFF7"/>
          </w:tcPr>
          <w:p>
            <w:pPr>
              <w:spacing w:line="276" w:lineRule="auto" w:after="80" w:before="80"/>
            </w:pPr>
            <w:r>
              <w:rPr>
                <w:rFonts w:ascii="Times New Roman" w:hAnsi="Times New Roman" w:eastAsia="宋体" w:cs="Times New Roman"/>
                <w:b/>
                <w:sz w:val="18"/>
              </w:rPr>
              <w:t>可检验的边界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多屋顶、朝向和倾角差异</w:t>
            </w:r>
          </w:p>
        </w:tc>
        <w:tc>
          <w:tcPr>
            <w:tcW w:type="dxa" w:w="2324"/>
            <w:vAlign w:val="center"/>
          </w:tcPr>
          <w:p>
            <w:pPr>
              <w:spacing w:line="276" w:lineRule="auto" w:after="80" w:before="80"/>
            </w:pPr>
            <w:r>
              <w:rPr>
                <w:rFonts w:ascii="Times New Roman" w:hAnsi="Times New Roman" w:eastAsia="宋体" w:cs="Times New Roman"/>
                <w:b w:val="0"/>
                <w:sz w:val="18"/>
              </w:rPr>
              <w:t>同一水平面辐照信息未必对应相同功率响应</w:t>
            </w:r>
          </w:p>
        </w:tc>
        <w:tc>
          <w:tcPr>
            <w:tcW w:type="dxa" w:w="2608"/>
            <w:vAlign w:val="center"/>
          </w:tcPr>
          <w:p>
            <w:pPr>
              <w:spacing w:line="276" w:lineRule="auto" w:after="80" w:before="80"/>
            </w:pPr>
            <w:r>
              <w:rPr>
                <w:rFonts w:ascii="Times New Roman" w:hAnsi="Times New Roman" w:eastAsia="宋体" w:cs="Times New Roman"/>
                <w:b w:val="0"/>
                <w:sz w:val="18"/>
              </w:rPr>
              <w:t>各分区容量、朝向、倾角与功率记录</w:t>
            </w:r>
          </w:p>
        </w:tc>
        <w:tc>
          <w:tcPr>
            <w:tcW w:type="dxa" w:w="2608"/>
            <w:vAlign w:val="center"/>
          </w:tcPr>
          <w:p>
            <w:pPr>
              <w:spacing w:line="276" w:lineRule="auto" w:after="80" w:before="80"/>
            </w:pPr>
            <w:r>
              <w:rPr>
                <w:rFonts w:ascii="Times New Roman" w:hAnsi="Times New Roman" w:eastAsia="宋体" w:cs="Times New Roman"/>
                <w:b w:val="0"/>
                <w:sz w:val="18"/>
              </w:rPr>
              <w:t>有分区数据时比较分区建模汇总与直接总量预测</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建筑或树木局部遮挡</w:t>
            </w:r>
          </w:p>
        </w:tc>
        <w:tc>
          <w:tcPr>
            <w:tcW w:type="dxa" w:w="2324"/>
            <w:vAlign w:val="center"/>
          </w:tcPr>
          <w:p>
            <w:pPr>
              <w:spacing w:line="276" w:lineRule="auto" w:after="80" w:before="80"/>
            </w:pPr>
            <w:r>
              <w:rPr>
                <w:rFonts w:ascii="Times New Roman" w:hAnsi="Times New Roman" w:eastAsia="宋体" w:cs="Times New Roman"/>
                <w:b w:val="0"/>
                <w:sz w:val="18"/>
              </w:rPr>
              <w:t>周期性遮挡与云致变化可能混合，历史功率包含设备侧响应信息</w:t>
            </w:r>
          </w:p>
        </w:tc>
        <w:tc>
          <w:tcPr>
            <w:tcW w:type="dxa" w:w="2608"/>
            <w:vAlign w:val="center"/>
          </w:tcPr>
          <w:p>
            <w:pPr>
              <w:spacing w:line="276" w:lineRule="auto" w:after="80" w:before="80"/>
            </w:pPr>
            <w:r>
              <w:rPr>
                <w:rFonts w:ascii="Times New Roman" w:hAnsi="Times New Roman" w:eastAsia="宋体" w:cs="Times New Roman"/>
                <w:b w:val="0"/>
                <w:sz w:val="18"/>
              </w:rPr>
              <w:t>遮挡范围、太阳位置或相关现场记录</w:t>
            </w:r>
          </w:p>
        </w:tc>
        <w:tc>
          <w:tcPr>
            <w:tcW w:type="dxa" w:w="2608"/>
            <w:vAlign w:val="center"/>
          </w:tcPr>
          <w:p>
            <w:pPr>
              <w:spacing w:line="276" w:lineRule="auto" w:after="80" w:before="80"/>
            </w:pPr>
            <w:r>
              <w:rPr>
                <w:rFonts w:ascii="Times New Roman" w:hAnsi="Times New Roman" w:eastAsia="宋体" w:cs="Times New Roman"/>
                <w:b w:val="0"/>
                <w:sz w:val="18"/>
              </w:rPr>
              <w:t>遮挡规律是否改变历史信息的预测增益</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逆变器削顶与运行干预</w:t>
            </w:r>
          </w:p>
        </w:tc>
        <w:tc>
          <w:tcPr>
            <w:tcW w:type="dxa" w:w="2324"/>
            <w:vAlign w:val="center"/>
          </w:tcPr>
          <w:p>
            <w:pPr>
              <w:spacing w:line="276" w:lineRule="auto" w:after="80" w:before="80"/>
            </w:pPr>
            <w:r>
              <w:rPr>
                <w:rFonts w:ascii="Times New Roman" w:hAnsi="Times New Roman" w:eastAsia="宋体" w:cs="Times New Roman"/>
                <w:b w:val="0"/>
                <w:sz w:val="18"/>
              </w:rPr>
              <w:t>功率变化未必由天气造成，气象解释可能受测量目标影响</w:t>
            </w:r>
          </w:p>
        </w:tc>
        <w:tc>
          <w:tcPr>
            <w:tcW w:type="dxa" w:w="2608"/>
            <w:vAlign w:val="center"/>
          </w:tcPr>
          <w:p>
            <w:pPr>
              <w:spacing w:line="276" w:lineRule="auto" w:after="80" w:before="80"/>
            </w:pPr>
            <w:r>
              <w:rPr>
                <w:rFonts w:ascii="Times New Roman" w:hAnsi="Times New Roman" w:eastAsia="宋体" w:cs="Times New Roman"/>
                <w:b w:val="0"/>
                <w:sz w:val="18"/>
              </w:rPr>
              <w:t>交流容量、限发指令、设备状态和检修记录</w:t>
            </w:r>
          </w:p>
        </w:tc>
        <w:tc>
          <w:tcPr>
            <w:tcW w:type="dxa" w:w="2608"/>
            <w:vAlign w:val="center"/>
          </w:tcPr>
          <w:p>
            <w:pPr>
              <w:spacing w:line="276" w:lineRule="auto" w:after="80" w:before="80"/>
            </w:pPr>
            <w:r>
              <w:rPr>
                <w:rFonts w:ascii="Times New Roman" w:hAnsi="Times New Roman" w:eastAsia="宋体" w:cs="Times New Roman"/>
                <w:b w:val="0"/>
                <w:sz w:val="18"/>
              </w:rPr>
              <w:t>区分正常运行与受约束时段，不把限发当成云致突降</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聚合层级与时间同步</w:t>
            </w:r>
          </w:p>
        </w:tc>
        <w:tc>
          <w:tcPr>
            <w:tcW w:type="dxa" w:w="2324"/>
            <w:vAlign w:val="center"/>
          </w:tcPr>
          <w:p>
            <w:pPr>
              <w:spacing w:line="276" w:lineRule="auto" w:after="80" w:before="80"/>
            </w:pPr>
            <w:r>
              <w:rPr>
                <w:rFonts w:ascii="Times New Roman" w:hAnsi="Times New Roman" w:eastAsia="宋体" w:cs="Times New Roman"/>
                <w:b w:val="0"/>
                <w:sz w:val="18"/>
              </w:rPr>
              <w:t>总量误差可能掩盖局部异常；不同测点时差可制造虚假爬坡</w:t>
            </w:r>
          </w:p>
        </w:tc>
        <w:tc>
          <w:tcPr>
            <w:tcW w:type="dxa" w:w="2608"/>
            <w:vAlign w:val="center"/>
          </w:tcPr>
          <w:p>
            <w:pPr>
              <w:spacing w:line="276" w:lineRule="auto" w:after="80" w:before="80"/>
            </w:pPr>
            <w:r>
              <w:rPr>
                <w:rFonts w:ascii="Times New Roman" w:hAnsi="Times New Roman" w:eastAsia="宋体" w:cs="Times New Roman"/>
                <w:b w:val="0"/>
                <w:sz w:val="18"/>
              </w:rPr>
              <w:t>同步分区/馈线记录和园区总表记录</w:t>
            </w:r>
          </w:p>
        </w:tc>
        <w:tc>
          <w:tcPr>
            <w:tcW w:type="dxa" w:w="2608"/>
            <w:vAlign w:val="center"/>
          </w:tcPr>
          <w:p>
            <w:pPr>
              <w:spacing w:line="276" w:lineRule="auto" w:after="80" w:before="80"/>
            </w:pPr>
            <w:r>
              <w:rPr>
                <w:rFonts w:ascii="Times New Roman" w:hAnsi="Times New Roman" w:eastAsia="宋体" w:cs="Times New Roman"/>
                <w:b w:val="0"/>
                <w:sz w:val="18"/>
              </w:rPr>
              <w:t>检查数据对齐、容量加权及局部与总量事件差异</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自发自用与可调资源</w:t>
            </w:r>
          </w:p>
        </w:tc>
        <w:tc>
          <w:tcPr>
            <w:tcW w:type="dxa" w:w="2324"/>
            <w:vAlign w:val="center"/>
          </w:tcPr>
          <w:p>
            <w:pPr>
              <w:spacing w:line="276" w:lineRule="auto" w:after="80" w:before="80"/>
            </w:pPr>
            <w:r>
              <w:rPr>
                <w:rFonts w:ascii="Times New Roman" w:hAnsi="Times New Roman" w:eastAsia="宋体" w:cs="Times New Roman"/>
                <w:b w:val="0"/>
                <w:sz w:val="18"/>
              </w:rPr>
              <w:t>同一预测误差对购电、储能和可移负荷的影响不同</w:t>
            </w:r>
          </w:p>
        </w:tc>
        <w:tc>
          <w:tcPr>
            <w:tcW w:type="dxa" w:w="2608"/>
            <w:vAlign w:val="center"/>
          </w:tcPr>
          <w:p>
            <w:pPr>
              <w:spacing w:line="276" w:lineRule="auto" w:after="80" w:before="80"/>
            </w:pPr>
            <w:r>
              <w:rPr>
                <w:rFonts w:ascii="Times New Roman" w:hAnsi="Times New Roman" w:eastAsia="宋体" w:cs="Times New Roman"/>
                <w:b w:val="0"/>
                <w:sz w:val="18"/>
              </w:rPr>
              <w:t>负荷、电价、储能、响应时间与并网约束</w:t>
            </w:r>
          </w:p>
        </w:tc>
        <w:tc>
          <w:tcPr>
            <w:tcW w:type="dxa" w:w="2608"/>
            <w:vAlign w:val="center"/>
          </w:tcPr>
          <w:p>
            <w:pPr>
              <w:spacing w:line="276" w:lineRule="auto" w:after="80" w:before="80"/>
            </w:pPr>
            <w:r>
              <w:rPr>
                <w:rFonts w:ascii="Times New Roman" w:hAnsi="Times New Roman" w:eastAsia="宋体" w:cs="Times New Roman"/>
                <w:b w:val="0"/>
                <w:sz w:val="18"/>
              </w:rPr>
              <w:t>影响运行评价目标；不能直接证明功率预测更准确</w:t>
            </w:r>
          </w:p>
        </w:tc>
      </w:tr>
    </w:tbl>
    <w:p>
      <w:pPr>
        <w:spacing w:after="0"/>
      </w:pPr>
    </w:p>
    <w:p>
      <w:pPr>
        <w:ind w:firstLine="440"/>
      </w:pPr>
      <w:r>
        <w:rPr>
          <w:rFonts w:ascii="Times New Roman" w:hAnsi="Times New Roman" w:eastAsia="宋体" w:cs="Times New Roman"/>
        </w:rPr>
        <w:t>本研究应先形成园区基础清单，再确定适用的场景检验。只有总量功率与气象数据时，可以研究总量信息贡献，但不能声称识别了局部遮挡机制、分区泛化或空间聚合收益。若没有真实预报档案，研究问题应限定为历史观测信息贡献。园区用电负荷通常影响消纳和调度目标；只有存在限发、控制耦合等明确机制时，才进一步讨论它对实发光伏功率的影响。</w:t>
      </w:r>
    </w:p>
    <w:p>
      <w:pPr>
        <w:pStyle w:val="Heading1"/>
      </w:pPr>
      <w:r>
        <w:rPr>
          <w:rFonts w:ascii="Times New Roman" w:hAnsi="Times New Roman" w:eastAsia="宋体" w:cs="Times New Roman"/>
        </w:rPr>
        <w:t>3 国内外研究现状</w:t>
      </w:r>
    </w:p>
    <w:p>
      <w:pPr>
        <w:pStyle w:val="Heading2"/>
      </w:pPr>
      <w:r>
        <w:rPr>
          <w:rFonts w:ascii="Times New Roman" w:hAnsi="Times New Roman" w:eastAsia="宋体" w:cs="Times New Roman"/>
        </w:rPr>
        <w:t>3.1 多源信息融合与多时距预测</w:t>
      </w:r>
    </w:p>
    <w:p>
      <w:pPr>
        <w:ind w:firstLine="440"/>
      </w:pPr>
      <w:r>
        <w:rPr>
          <w:rFonts w:ascii="Times New Roman" w:hAnsi="Times New Roman" w:eastAsia="宋体" w:cs="Times New Roman"/>
        </w:rPr>
        <w:t>中文综述已讨论历史功率、气象数据、云观测、多源融合、空间相关性及数据驱动方法。近年来的多时间尺度模型进一步尝试融合不同长度的时间特征。因此，“采用深度学习”或“开展多时距预测”本身不足以构成新的研究问题；需要说明现有方法在信息可用性、验证条件或具体场景中的未解决关系。[8,10,11,12]</w:t>
      </w:r>
    </w:p>
    <w:p>
      <w:pPr>
        <w:ind w:firstLine="440"/>
      </w:pPr>
      <w:r>
        <w:rPr>
          <w:rFonts w:ascii="Times New Roman" w:hAnsi="Times New Roman" w:eastAsia="宋体" w:cs="Times New Roman"/>
        </w:rPr>
        <w:t>Zhang等在中国与澳大利亚五个光伏站点或聚合站点上开展4小时至7天的多时距实验，提出融合历史观测与前向天气信息的Cross-Unet模型。该研究直接涉及历史信息与未来气象信息的融合及相对权重问题，与本综述拟研究主题存在交集。其三类数据条件应严格区分：数值天气预报和AI天气预报具有预报属性，卫星观测辐照度则用于近似真实辐照条件、分析性能上界；不能把后者概括为发布时刻可获得的未来预报。论文还说明部分数据构建条件下，超过两天的NWP实验可能高估预测技能。因此，对其结论应同时报告数据来源、发布规则和时距边界。[13]</w:t>
      </w:r>
    </w:p>
    <w:p>
      <w:pPr>
        <w:ind w:firstLine="440"/>
      </w:pPr>
      <w:r>
        <w:rPr>
          <w:rFonts w:ascii="Times New Roman" w:hAnsi="Times New Roman" w:eastAsia="宋体" w:cs="Times New Roman"/>
        </w:rPr>
        <w:t>Polášek与Čadík在包含16座光伏系统一年数据的SolarDB上，使用真实公开天气预报及历史信息训练SolarPredictor，评价1、3、7天预测及预报年龄变化，并比较预报天气与零误差天气条件下的性能。这一研究支持严格区分实际预报输入与未来实测输入，但不能据此给出所有园区适用的数据精度阈值。[14]</w:t>
      </w:r>
    </w:p>
    <w:p>
      <w:pPr>
        <w:pStyle w:val="Heading2"/>
      </w:pPr>
      <w:r>
        <w:rPr>
          <w:rFonts w:ascii="Times New Roman" w:hAnsi="Times New Roman" w:eastAsia="宋体" w:cs="Times New Roman"/>
        </w:rPr>
        <w:t>3.2 预测验证与跨研究可比性</w:t>
      </w:r>
    </w:p>
    <w:p>
      <w:pPr>
        <w:ind w:firstLine="440"/>
      </w:pPr>
      <w:r>
        <w:rPr>
          <w:rFonts w:ascii="Times New Roman" w:hAnsi="Times New Roman" w:eastAsia="宋体" w:cs="Times New Roman"/>
        </w:rPr>
        <w:t>Yang等提出确定性太阳能预测的验证框架，强调参考基准及技能评价。Nguyen与Müsgens基于180篇研究及其误差观测开展统计分析，指出模型类型、预测时距、测试集长度等条件影响报告结果，并建议较长测试期以减少选择性报告和季节覆盖不足的影响。不同论文的误差值只有在容量分母、昼夜处理、预测提前量、数据可用性与测试边界一致或可解释时，才具有可比性。[15,16]</w:t>
      </w:r>
    </w:p>
    <w:p>
      <w:pPr>
        <w:ind w:firstLine="440"/>
      </w:pPr>
      <w:r>
        <w:rPr>
          <w:rFonts w:ascii="Times New Roman" w:hAnsi="Times New Roman" w:eastAsia="宋体" w:cs="Times New Roman"/>
        </w:rPr>
        <w:t>园区评价宜同时报告kW或MW误差、容量归一化误差、平均偏差、相对基准技能及累计电量偏差。应按提前量、天气和季节分层，并分别报告白昼与全时段结果。夜间近零出力可能降低总体误差，不能据此认定远期白昼预测表现更好；MAPE在接近零功率时不稳定，不宜作为唯一评价指标。</w:t>
      </w:r>
    </w:p>
    <w:p>
      <w:pPr>
        <w:pStyle w:val="Heading2"/>
      </w:pPr>
      <w:r>
        <w:rPr>
          <w:rFonts w:ascii="Times New Roman" w:hAnsi="Times New Roman" w:eastAsia="宋体" w:cs="Times New Roman"/>
        </w:rPr>
        <w:t>3.3 模型解释、遮挡与空间差异</w:t>
      </w:r>
    </w:p>
    <w:p>
      <w:pPr>
        <w:ind w:firstLine="440"/>
      </w:pPr>
      <w:r>
        <w:rPr>
          <w:rFonts w:ascii="Times New Roman" w:hAnsi="Times New Roman" w:eastAsia="宋体" w:cs="Times New Roman"/>
        </w:rPr>
        <w:t>Fu等在建筑遮挡相关光伏案例中引入遮挡特征并使用SHAP解释；Mitrentsis与Lens将NGBoost概率预测与SHAP结合。分布式光伏的空间相关性及聚合误差也已有专门研究。因此，“园区使用SHAP”“加入遮挡特征”或“考虑空间相关性”均已有研究基础。[7,9,17]</w:t>
      </w:r>
    </w:p>
    <w:p>
      <w:pPr>
        <w:ind w:firstLine="440"/>
      </w:pPr>
      <w:r>
        <w:rPr>
          <w:rFonts w:ascii="Times New Roman" w:hAnsi="Times New Roman" w:eastAsia="宋体" w:cs="Times New Roman"/>
        </w:rPr>
        <w:t>Tufail的XAI综述指出，解释忠实性、稳定性和运行开销的量化评价仍不充分，相关输入、背景样本选择和复现条件会影响解释结果。这为进一步验证解释稳定性提供依据，但不能直接证明某一园区的特征排序或信息转换时点具有普遍性。[18]</w:t>
      </w:r>
    </w:p>
    <w:p>
      <w:pPr>
        <w:ind w:firstLine="440"/>
      </w:pPr>
      <w:r>
        <w:rPr>
          <w:rFonts w:ascii="Times New Roman" w:hAnsi="Times New Roman" w:eastAsia="宋体" w:cs="Times New Roman"/>
        </w:rPr>
        <w:t>SHAP应明确模型、输出目标、样本范围、背景数据及解释算法。特征相关时，归因分配依赖解释设置；重训练消融则检验删除某组信息后模型可以达到的预测性能，两者回答的问题不同。两者一致可以增强证据，出现差异也应分析信息替代、相关性及模型重新拟合的影响，不能强求完全一致。</w:t>
      </w:r>
    </w:p>
    <w:p>
      <w:pPr>
        <w:pStyle w:val="Heading2"/>
      </w:pPr>
      <w:r>
        <w:rPr>
          <w:rFonts w:ascii="Times New Roman" w:hAnsi="Times New Roman" w:eastAsia="宋体" w:cs="Times New Roman"/>
        </w:rPr>
        <w:t>3.4 概率预测、关键爬坡与经济价值</w:t>
      </w:r>
    </w:p>
    <w:p>
      <w:pPr>
        <w:ind w:firstLine="440"/>
      </w:pPr>
      <w:r>
        <w:rPr>
          <w:rFonts w:ascii="Times New Roman" w:hAnsi="Times New Roman" w:eastAsia="宋体" w:cs="Times New Roman"/>
        </w:rPr>
        <w:t>T/CES 139—2022给出了光伏功率概率预测的相关要求及区间评价指标。中文研究已涉及概率预测与基于时序误差分布的区间预测；Lauret等开展多站点概率辐照度基准实验，比较不同输入组合的价值。概率预测已有标准和方法基础，但辐照度基准结果向园区交流功率及运行风险的迁移仍需要验证。[19,20,21,22]</w:t>
      </w:r>
    </w:p>
    <w:p>
      <w:pPr>
        <w:ind w:firstLine="440"/>
      </w:pPr>
      <w:r>
        <w:rPr>
          <w:rFonts w:ascii="Times New Roman" w:hAnsi="Times New Roman" w:eastAsia="宋体" w:cs="Times New Roman"/>
        </w:rPr>
        <w:t>Nouri等研究说明，整体RMSE或技能较好的模型仍可能在爬坡事件检测上表现较弱。该证据主要来自太阳辐照度预测与爬坡评价，园区功率突降还受到容量聚合、遮挡、限发及设备状态影响。因此，事件定义和阈值必须与园区测量对象及调节能力对应。[23]</w:t>
      </w:r>
    </w:p>
    <w:p>
      <w:pPr>
        <w:ind w:firstLine="440"/>
      </w:pPr>
      <w:r>
        <w:rPr>
          <w:rFonts w:ascii="Times New Roman" w:hAnsi="Times New Roman" w:eastAsia="宋体" w:cs="Times New Roman"/>
        </w:rPr>
        <w:t>Gandhi等综述了太阳能预测的经济价值和误差成本，表明收益需要结合市场和运行场景评价。园区虚拟电厂两阶段调度研究提供了园区应用算例，Brown与Göl则将概率预测接入离网农业微电网的随机模型预测控制仿真。后者可以支持预测与调度结合的可行性讨论，但不能直接外推工业园区的实际净收益。[2,24,25]</w:t>
      </w:r>
    </w:p>
    <w:p>
      <w:pPr>
        <w:pStyle w:val="Heading2"/>
      </w:pPr>
      <w:r>
        <w:rPr>
          <w:rFonts w:ascii="Times New Roman" w:hAnsi="Times New Roman" w:eastAsia="宋体" w:cs="Times New Roman"/>
        </w:rPr>
        <w:t>3.5 与拟研究主题相关的五项原始研究</w:t>
      </w:r>
    </w:p>
    <w:p>
      <w:pPr>
        <w:ind w:firstLine="440"/>
      </w:pPr>
      <w:r>
        <w:rPr>
          <w:rFonts w:ascii="Times New Roman" w:hAnsi="Times New Roman" w:eastAsia="宋体" w:cs="Times New Roman"/>
        </w:rPr>
        <w:t>以下按信息融合、输入真实性、设备场景、模型解释和园区应用五条线比较相关研究。各论文的指标、测试样本和输入条件并不统一，不能拼接其误差数字形成方法优劣排名。正文未提供或目前未核验的细节不推断为作者未开展相关实验。</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研究</w:t>
            </w:r>
          </w:p>
        </w:tc>
        <w:tc>
          <w:tcPr>
            <w:tcW w:type="dxa" w:w="2324"/>
            <w:vAlign w:val="center"/>
            <w:shd w:fill="E8EFF7"/>
          </w:tcPr>
          <w:p>
            <w:pPr>
              <w:spacing w:line="276" w:lineRule="auto" w:after="80" w:before="80"/>
            </w:pPr>
            <w:r>
              <w:rPr>
                <w:rFonts w:ascii="Times New Roman" w:hAnsi="Times New Roman" w:eastAsia="宋体" w:cs="Times New Roman"/>
                <w:b/>
                <w:sz w:val="18"/>
              </w:rPr>
              <w:t>对象与时间任务</w:t>
            </w:r>
          </w:p>
        </w:tc>
        <w:tc>
          <w:tcPr>
            <w:tcW w:type="dxa" w:w="2608"/>
            <w:vAlign w:val="center"/>
            <w:shd w:fill="E8EFF7"/>
          </w:tcPr>
          <w:p>
            <w:pPr>
              <w:spacing w:line="276" w:lineRule="auto" w:after="80" w:before="80"/>
            </w:pPr>
            <w:r>
              <w:rPr>
                <w:rFonts w:ascii="Times New Roman" w:hAnsi="Times New Roman" w:eastAsia="宋体" w:cs="Times New Roman"/>
                <w:b/>
                <w:sz w:val="18"/>
              </w:rPr>
              <w:t>输入及方法侧重</w:t>
            </w:r>
          </w:p>
        </w:tc>
        <w:tc>
          <w:tcPr>
            <w:tcW w:type="dxa" w:w="2608"/>
            <w:vAlign w:val="center"/>
            <w:shd w:fill="E8EFF7"/>
          </w:tcPr>
          <w:p>
            <w:pPr>
              <w:spacing w:line="276" w:lineRule="auto" w:after="80" w:before="80"/>
            </w:pPr>
            <w:r>
              <w:rPr>
                <w:rFonts w:ascii="Times New Roman" w:hAnsi="Times New Roman" w:eastAsia="宋体" w:cs="Times New Roman"/>
                <w:b/>
                <w:sz w:val="18"/>
              </w:rPr>
              <w:t>已有验证或解释证据</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Zhang等（2026）[13]</w:t>
            </w:r>
          </w:p>
        </w:tc>
        <w:tc>
          <w:tcPr>
            <w:tcW w:type="dxa" w:w="2324"/>
            <w:vAlign w:val="center"/>
          </w:tcPr>
          <w:p>
            <w:pPr>
              <w:spacing w:line="276" w:lineRule="auto" w:after="80" w:before="80"/>
            </w:pPr>
            <w:r>
              <w:rPr>
                <w:rFonts w:ascii="Times New Roman" w:hAnsi="Times New Roman" w:eastAsia="宋体" w:cs="Times New Roman"/>
                <w:b w:val="0"/>
                <w:sz w:val="18"/>
              </w:rPr>
              <w:t>中国与澳大利亚五站点/聚合站点，4小时至7天、15分钟输出</w:t>
            </w:r>
          </w:p>
        </w:tc>
        <w:tc>
          <w:tcPr>
            <w:tcW w:type="dxa" w:w="2608"/>
            <w:vAlign w:val="center"/>
          </w:tcPr>
          <w:p>
            <w:pPr>
              <w:spacing w:line="276" w:lineRule="auto" w:after="80" w:before="80"/>
            </w:pPr>
            <w:r>
              <w:rPr>
                <w:rFonts w:ascii="Times New Roman" w:hAnsi="Times New Roman" w:eastAsia="宋体" w:cs="Times New Roman"/>
                <w:b w:val="0"/>
                <w:sz w:val="18"/>
              </w:rPr>
              <w:t>历史观测与不同前向信息融合；Cross-Unet</w:t>
            </w:r>
          </w:p>
        </w:tc>
        <w:tc>
          <w:tcPr>
            <w:tcW w:type="dxa" w:w="2608"/>
            <w:vAlign w:val="center"/>
          </w:tcPr>
          <w:p>
            <w:pPr>
              <w:spacing w:line="276" w:lineRule="auto" w:after="80" w:before="80"/>
            </w:pPr>
            <w:r>
              <w:rPr>
                <w:rFonts w:ascii="Times New Roman" w:hAnsi="Times New Roman" w:eastAsia="宋体" w:cs="Times New Roman"/>
                <w:b w:val="0"/>
                <w:sz w:val="18"/>
              </w:rPr>
              <w:t>多架构与基准比较；涉及信息权重、天气变化和输入质量，需区分预报与卫星观测上界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Polášek与Čadík（2023）[14]</w:t>
            </w:r>
          </w:p>
        </w:tc>
        <w:tc>
          <w:tcPr>
            <w:tcW w:type="dxa" w:w="2324"/>
            <w:vAlign w:val="center"/>
          </w:tcPr>
          <w:p>
            <w:pPr>
              <w:spacing w:line="276" w:lineRule="auto" w:after="80" w:before="80"/>
            </w:pPr>
            <w:r>
              <w:rPr>
                <w:rFonts w:ascii="Times New Roman" w:hAnsi="Times New Roman" w:eastAsia="宋体" w:cs="Times New Roman"/>
                <w:b w:val="0"/>
                <w:sz w:val="18"/>
              </w:rPr>
              <w:t>SolarDB：16座系统、一年数据，1/3/7天预测</w:t>
            </w:r>
          </w:p>
        </w:tc>
        <w:tc>
          <w:tcPr>
            <w:tcW w:type="dxa" w:w="2608"/>
            <w:vAlign w:val="center"/>
          </w:tcPr>
          <w:p>
            <w:pPr>
              <w:spacing w:line="276" w:lineRule="auto" w:after="80" w:before="80"/>
            </w:pPr>
            <w:r>
              <w:rPr>
                <w:rFonts w:ascii="Times New Roman" w:hAnsi="Times New Roman" w:eastAsia="宋体" w:cs="Times New Roman"/>
                <w:b w:val="0"/>
                <w:sz w:val="18"/>
              </w:rPr>
              <w:t>历史功率与真实天气预报；混合卷积架构</w:t>
            </w:r>
          </w:p>
        </w:tc>
        <w:tc>
          <w:tcPr>
            <w:tcW w:type="dxa" w:w="2608"/>
            <w:vAlign w:val="center"/>
          </w:tcPr>
          <w:p>
            <w:pPr>
              <w:spacing w:line="276" w:lineRule="auto" w:after="80" w:before="80"/>
            </w:pPr>
            <w:r>
              <w:rPr>
                <w:rFonts w:ascii="Times New Roman" w:hAnsi="Times New Roman" w:eastAsia="宋体" w:cs="Times New Roman"/>
                <w:b w:val="0"/>
                <w:sz w:val="18"/>
              </w:rPr>
              <w:t>比较多种方法、预报年龄及零误差天气条件；不能直接外推园区精度门槛</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Fu等（2025）[7]</w:t>
            </w:r>
          </w:p>
        </w:tc>
        <w:tc>
          <w:tcPr>
            <w:tcW w:type="dxa" w:w="2324"/>
            <w:vAlign w:val="center"/>
          </w:tcPr>
          <w:p>
            <w:pPr>
              <w:spacing w:line="276" w:lineRule="auto" w:after="80" w:before="80"/>
            </w:pPr>
            <w:r>
              <w:rPr>
                <w:rFonts w:ascii="Times New Roman" w:hAnsi="Times New Roman" w:eastAsia="宋体" w:cs="Times New Roman"/>
                <w:b w:val="0"/>
                <w:sz w:val="18"/>
              </w:rPr>
              <w:t>北京建筑车棚光伏案例</w:t>
            </w:r>
          </w:p>
        </w:tc>
        <w:tc>
          <w:tcPr>
            <w:tcW w:type="dxa" w:w="2608"/>
            <w:vAlign w:val="center"/>
          </w:tcPr>
          <w:p>
            <w:pPr>
              <w:spacing w:line="276" w:lineRule="auto" w:after="80" w:before="80"/>
            </w:pPr>
            <w:r>
              <w:rPr>
                <w:rFonts w:ascii="Times New Roman" w:hAnsi="Times New Roman" w:eastAsia="宋体" w:cs="Times New Roman"/>
                <w:b w:val="0"/>
                <w:sz w:val="18"/>
              </w:rPr>
              <w:t>建筑遮挡相关特征与功率预测</w:t>
            </w:r>
          </w:p>
        </w:tc>
        <w:tc>
          <w:tcPr>
            <w:tcW w:type="dxa" w:w="2608"/>
            <w:vAlign w:val="center"/>
          </w:tcPr>
          <w:p>
            <w:pPr>
              <w:spacing w:line="276" w:lineRule="auto" w:after="80" w:before="80"/>
            </w:pPr>
            <w:r>
              <w:rPr>
                <w:rFonts w:ascii="Times New Roman" w:hAnsi="Times New Roman" w:eastAsia="宋体" w:cs="Times New Roman"/>
                <w:b w:val="0"/>
                <w:sz w:val="18"/>
              </w:rPr>
              <w:t>SHAP用于特征解释；案例证明遮挡信息已有应用，不提供跨园区通用重要性排序</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Mitrentsis与Lens（2022）[17]</w:t>
            </w:r>
          </w:p>
        </w:tc>
        <w:tc>
          <w:tcPr>
            <w:tcW w:type="dxa" w:w="2324"/>
            <w:vAlign w:val="center"/>
          </w:tcPr>
          <w:p>
            <w:pPr>
              <w:spacing w:line="276" w:lineRule="auto" w:after="80" w:before="80"/>
            </w:pPr>
            <w:r>
              <w:rPr>
                <w:rFonts w:ascii="Times New Roman" w:hAnsi="Times New Roman" w:eastAsia="宋体" w:cs="Times New Roman"/>
                <w:b w:val="0"/>
                <w:sz w:val="18"/>
              </w:rPr>
              <w:t>短期光伏概率预测任务</w:t>
            </w:r>
          </w:p>
        </w:tc>
        <w:tc>
          <w:tcPr>
            <w:tcW w:type="dxa" w:w="2608"/>
            <w:vAlign w:val="center"/>
          </w:tcPr>
          <w:p>
            <w:pPr>
              <w:spacing w:line="276" w:lineRule="auto" w:after="80" w:before="80"/>
            </w:pPr>
            <w:r>
              <w:rPr>
                <w:rFonts w:ascii="Times New Roman" w:hAnsi="Times New Roman" w:eastAsia="宋体" w:cs="Times New Roman"/>
                <w:b w:val="0"/>
                <w:sz w:val="18"/>
              </w:rPr>
              <w:t>NGBoost概率建模与SHAP解释</w:t>
            </w:r>
          </w:p>
        </w:tc>
        <w:tc>
          <w:tcPr>
            <w:tcW w:type="dxa" w:w="2608"/>
            <w:vAlign w:val="center"/>
          </w:tcPr>
          <w:p>
            <w:pPr>
              <w:spacing w:line="276" w:lineRule="auto" w:after="80" w:before="80"/>
            </w:pPr>
            <w:r>
              <w:rPr>
                <w:rFonts w:ascii="Times New Roman" w:hAnsi="Times New Roman" w:eastAsia="宋体" w:cs="Times New Roman"/>
                <w:b w:val="0"/>
                <w:sz w:val="18"/>
              </w:rPr>
              <w:t>同时评价点预测、概率表现和模型解释；解释目标与点预测消融目标需匹配</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魏春晖等（2025）[2]</w:t>
            </w:r>
          </w:p>
        </w:tc>
        <w:tc>
          <w:tcPr>
            <w:tcW w:type="dxa" w:w="2324"/>
            <w:vAlign w:val="center"/>
          </w:tcPr>
          <w:p>
            <w:pPr>
              <w:spacing w:line="276" w:lineRule="auto" w:after="80" w:before="80"/>
            </w:pPr>
            <w:r>
              <w:rPr>
                <w:rFonts w:ascii="Times New Roman" w:hAnsi="Times New Roman" w:eastAsia="宋体" w:cs="Times New Roman"/>
                <w:b w:val="0"/>
                <w:sz w:val="18"/>
              </w:rPr>
              <w:t>园区虚拟电厂日前—日内调度</w:t>
            </w:r>
          </w:p>
        </w:tc>
        <w:tc>
          <w:tcPr>
            <w:tcW w:type="dxa" w:w="2608"/>
            <w:vAlign w:val="center"/>
          </w:tcPr>
          <w:p>
            <w:pPr>
              <w:spacing w:line="276" w:lineRule="auto" w:after="80" w:before="80"/>
            </w:pPr>
            <w:r>
              <w:rPr>
                <w:rFonts w:ascii="Times New Roman" w:hAnsi="Times New Roman" w:eastAsia="宋体" w:cs="Times New Roman"/>
                <w:b w:val="0"/>
                <w:sz w:val="18"/>
              </w:rPr>
              <w:t>日前光伏预测、日内实测修正与需求响应优化</w:t>
            </w:r>
          </w:p>
        </w:tc>
        <w:tc>
          <w:tcPr>
            <w:tcW w:type="dxa" w:w="2608"/>
            <w:vAlign w:val="center"/>
          </w:tcPr>
          <w:p>
            <w:pPr>
              <w:spacing w:line="276" w:lineRule="auto" w:after="80" w:before="80"/>
            </w:pPr>
            <w:r>
              <w:rPr>
                <w:rFonts w:ascii="Times New Roman" w:hAnsi="Times New Roman" w:eastAsia="宋体" w:cs="Times New Roman"/>
                <w:b w:val="0"/>
                <w:sz w:val="18"/>
              </w:rPr>
              <w:t>园区调度算例连接预测与决策；应用收益依赖特定市场、设备和运行设定</w:t>
            </w:r>
          </w:p>
        </w:tc>
      </w:tr>
    </w:tbl>
    <w:p>
      <w:pPr>
        <w:spacing w:after="0"/>
      </w:pP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对照研究</w:t>
            </w:r>
          </w:p>
        </w:tc>
        <w:tc>
          <w:tcPr>
            <w:tcW w:type="dxa" w:w="2324"/>
            <w:vAlign w:val="center"/>
            <w:shd w:fill="E8EFF7"/>
          </w:tcPr>
          <w:p>
            <w:pPr>
              <w:spacing w:line="276" w:lineRule="auto" w:after="80" w:before="80"/>
            </w:pPr>
            <w:r>
              <w:rPr>
                <w:rFonts w:ascii="Times New Roman" w:hAnsi="Times New Roman" w:eastAsia="宋体" w:cs="Times New Roman"/>
                <w:b/>
                <w:sz w:val="18"/>
              </w:rPr>
              <w:t>本研究应承接的已有证据</w:t>
            </w:r>
          </w:p>
        </w:tc>
        <w:tc>
          <w:tcPr>
            <w:tcW w:type="dxa" w:w="2608"/>
            <w:vAlign w:val="center"/>
            <w:shd w:fill="E8EFF7"/>
          </w:tcPr>
          <w:p>
            <w:pPr>
              <w:spacing w:line="276" w:lineRule="auto" w:after="80" w:before="80"/>
            </w:pPr>
            <w:r>
              <w:rPr>
                <w:rFonts w:ascii="Times New Roman" w:hAnsi="Times New Roman" w:eastAsia="宋体" w:cs="Times New Roman"/>
                <w:b/>
                <w:sz w:val="18"/>
              </w:rPr>
              <w:t>拟补充检验</w:t>
            </w:r>
          </w:p>
        </w:tc>
        <w:tc>
          <w:tcPr>
            <w:tcW w:type="dxa" w:w="2608"/>
            <w:vAlign w:val="center"/>
            <w:shd w:fill="E8EFF7"/>
          </w:tcPr>
          <w:p>
            <w:pPr>
              <w:spacing w:line="276" w:lineRule="auto" w:after="80" w:before="80"/>
            </w:pPr>
            <w:r>
              <w:rPr>
                <w:rFonts w:ascii="Times New Roman" w:hAnsi="Times New Roman" w:eastAsia="宋体" w:cs="Times New Roman"/>
                <w:b/>
                <w:sz w:val="18"/>
              </w:rPr>
              <w:t>增量价值成立的条件</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Zhang等[13]</w:t>
            </w:r>
          </w:p>
        </w:tc>
        <w:tc>
          <w:tcPr>
            <w:tcW w:type="dxa" w:w="2324"/>
            <w:vAlign w:val="center"/>
          </w:tcPr>
          <w:p>
            <w:pPr>
              <w:spacing w:line="276" w:lineRule="auto" w:after="80" w:before="80"/>
            </w:pPr>
            <w:r>
              <w:rPr>
                <w:rFonts w:ascii="Times New Roman" w:hAnsi="Times New Roman" w:eastAsia="宋体" w:cs="Times New Roman"/>
                <w:b w:val="0"/>
                <w:sz w:val="18"/>
              </w:rPr>
              <w:t>多时距融合及历史/前向信息权重已被研究</w:t>
            </w:r>
          </w:p>
        </w:tc>
        <w:tc>
          <w:tcPr>
            <w:tcW w:type="dxa" w:w="2608"/>
            <w:vAlign w:val="center"/>
          </w:tcPr>
          <w:p>
            <w:pPr>
              <w:spacing w:line="276" w:lineRule="auto" w:after="80" w:before="80"/>
            </w:pPr>
            <w:r>
              <w:rPr>
                <w:rFonts w:ascii="Times New Roman" w:hAnsi="Times New Roman" w:eastAsia="宋体" w:cs="Times New Roman"/>
                <w:b w:val="0"/>
                <w:sz w:val="18"/>
              </w:rPr>
              <w:t>统一发布条件下的天气/季节分层消融与归因一致性</w:t>
            </w:r>
          </w:p>
        </w:tc>
        <w:tc>
          <w:tcPr>
            <w:tcW w:type="dxa" w:w="2608"/>
            <w:vAlign w:val="center"/>
          </w:tcPr>
          <w:p>
            <w:pPr>
              <w:spacing w:line="276" w:lineRule="auto" w:after="80" w:before="80"/>
            </w:pPr>
            <w:r>
              <w:rPr>
                <w:rFonts w:ascii="Times New Roman" w:hAnsi="Times New Roman" w:eastAsia="宋体" w:cs="Times New Roman"/>
                <w:b w:val="0"/>
                <w:sz w:val="18"/>
              </w:rPr>
              <w:t>跨模型族和独立时间块报告可重复关系；不得把改用园区数据本身称为方法创新</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Polášek与Čadík[14]</w:t>
            </w:r>
          </w:p>
        </w:tc>
        <w:tc>
          <w:tcPr>
            <w:tcW w:type="dxa" w:w="2324"/>
            <w:vAlign w:val="center"/>
          </w:tcPr>
          <w:p>
            <w:pPr>
              <w:spacing w:line="276" w:lineRule="auto" w:after="80" w:before="80"/>
            </w:pPr>
            <w:r>
              <w:rPr>
                <w:rFonts w:ascii="Times New Roman" w:hAnsi="Times New Roman" w:eastAsia="宋体" w:cs="Times New Roman"/>
                <w:b w:val="0"/>
                <w:sz w:val="18"/>
              </w:rPr>
              <w:t>输入真实性会影响可部署性能</w:t>
            </w:r>
          </w:p>
        </w:tc>
        <w:tc>
          <w:tcPr>
            <w:tcW w:type="dxa" w:w="2608"/>
            <w:vAlign w:val="center"/>
          </w:tcPr>
          <w:p>
            <w:pPr>
              <w:spacing w:line="276" w:lineRule="auto" w:after="80" w:before="80"/>
            </w:pPr>
            <w:r>
              <w:rPr>
                <w:rFonts w:ascii="Times New Roman" w:hAnsi="Times New Roman" w:eastAsia="宋体" w:cs="Times New Roman"/>
                <w:b w:val="0"/>
                <w:sz w:val="18"/>
              </w:rPr>
              <w:t>以实际可获取的预报版本计算各信息组的条件增益</w:t>
            </w:r>
          </w:p>
        </w:tc>
        <w:tc>
          <w:tcPr>
            <w:tcW w:type="dxa" w:w="2608"/>
            <w:vAlign w:val="center"/>
          </w:tcPr>
          <w:p>
            <w:pPr>
              <w:spacing w:line="276" w:lineRule="auto" w:after="80" w:before="80"/>
            </w:pPr>
            <w:r>
              <w:rPr>
                <w:rFonts w:ascii="Times New Roman" w:hAnsi="Times New Roman" w:eastAsia="宋体" w:cs="Times New Roman"/>
                <w:b w:val="0"/>
                <w:sz w:val="18"/>
              </w:rPr>
              <w:t>有包含起报与可获取时刻的档案；上界数据单独评价</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Fu等[7]</w:t>
            </w:r>
          </w:p>
        </w:tc>
        <w:tc>
          <w:tcPr>
            <w:tcW w:type="dxa" w:w="2324"/>
            <w:vAlign w:val="center"/>
          </w:tcPr>
          <w:p>
            <w:pPr>
              <w:spacing w:line="276" w:lineRule="auto" w:after="80" w:before="80"/>
            </w:pPr>
            <w:r>
              <w:rPr>
                <w:rFonts w:ascii="Times New Roman" w:hAnsi="Times New Roman" w:eastAsia="宋体" w:cs="Times New Roman"/>
                <w:b w:val="0"/>
                <w:sz w:val="18"/>
              </w:rPr>
              <w:t>遮挡建模和SHAP已有实例</w:t>
            </w:r>
          </w:p>
        </w:tc>
        <w:tc>
          <w:tcPr>
            <w:tcW w:type="dxa" w:w="2608"/>
            <w:vAlign w:val="center"/>
          </w:tcPr>
          <w:p>
            <w:pPr>
              <w:spacing w:line="276" w:lineRule="auto" w:after="80" w:before="80"/>
            </w:pPr>
            <w:r>
              <w:rPr>
                <w:rFonts w:ascii="Times New Roman" w:hAnsi="Times New Roman" w:eastAsia="宋体" w:cs="Times New Roman"/>
                <w:b w:val="0"/>
                <w:sz w:val="18"/>
              </w:rPr>
              <w:t>以实际遮挡/设备记录检验信息增益的场景差异</w:t>
            </w:r>
          </w:p>
        </w:tc>
        <w:tc>
          <w:tcPr>
            <w:tcW w:type="dxa" w:w="2608"/>
            <w:vAlign w:val="center"/>
          </w:tcPr>
          <w:p>
            <w:pPr>
              <w:spacing w:line="276" w:lineRule="auto" w:after="80" w:before="80"/>
            </w:pPr>
            <w:r>
              <w:rPr>
                <w:rFonts w:ascii="Times New Roman" w:hAnsi="Times New Roman" w:eastAsia="宋体" w:cs="Times New Roman"/>
                <w:b w:val="0"/>
                <w:sz w:val="18"/>
              </w:rPr>
              <w:t>有相关现场或分区记录；不能仅用SHAP反推遮挡原因</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Mitrentsis与Lens[17]</w:t>
            </w:r>
          </w:p>
        </w:tc>
        <w:tc>
          <w:tcPr>
            <w:tcW w:type="dxa" w:w="2324"/>
            <w:vAlign w:val="center"/>
          </w:tcPr>
          <w:p>
            <w:pPr>
              <w:spacing w:line="276" w:lineRule="auto" w:after="80" w:before="80"/>
            </w:pPr>
            <w:r>
              <w:rPr>
                <w:rFonts w:ascii="Times New Roman" w:hAnsi="Times New Roman" w:eastAsia="宋体" w:cs="Times New Roman"/>
                <w:b w:val="0"/>
                <w:sz w:val="18"/>
              </w:rPr>
              <w:t>预测与解释联合分析已有基础</w:t>
            </w:r>
          </w:p>
        </w:tc>
        <w:tc>
          <w:tcPr>
            <w:tcW w:type="dxa" w:w="2608"/>
            <w:vAlign w:val="center"/>
          </w:tcPr>
          <w:p>
            <w:pPr>
              <w:spacing w:line="276" w:lineRule="auto" w:after="80" w:before="80"/>
            </w:pPr>
            <w:r>
              <w:rPr>
                <w:rFonts w:ascii="Times New Roman" w:hAnsi="Times New Roman" w:eastAsia="宋体" w:cs="Times New Roman"/>
                <w:b w:val="0"/>
                <w:sz w:val="18"/>
              </w:rPr>
              <w:t>相同点输出目标下的SHAP稳定性与重训练消融对应</w:t>
            </w:r>
          </w:p>
        </w:tc>
        <w:tc>
          <w:tcPr>
            <w:tcW w:type="dxa" w:w="2608"/>
            <w:vAlign w:val="center"/>
          </w:tcPr>
          <w:p>
            <w:pPr>
              <w:spacing w:line="276" w:lineRule="auto" w:after="80" w:before="80"/>
            </w:pPr>
            <w:r>
              <w:rPr>
                <w:rFonts w:ascii="Times New Roman" w:hAnsi="Times New Roman" w:eastAsia="宋体" w:cs="Times New Roman"/>
                <w:b w:val="0"/>
                <w:sz w:val="18"/>
              </w:rPr>
              <w:t>固定背景及特征分组，允许相关输入和重新拟合导致不一致</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魏春晖等[2]</w:t>
            </w:r>
          </w:p>
        </w:tc>
        <w:tc>
          <w:tcPr>
            <w:tcW w:type="dxa" w:w="2324"/>
            <w:vAlign w:val="center"/>
          </w:tcPr>
          <w:p>
            <w:pPr>
              <w:spacing w:line="276" w:lineRule="auto" w:after="80" w:before="80"/>
            </w:pPr>
            <w:r>
              <w:rPr>
                <w:rFonts w:ascii="Times New Roman" w:hAnsi="Times New Roman" w:eastAsia="宋体" w:cs="Times New Roman"/>
                <w:b w:val="0"/>
                <w:sz w:val="18"/>
              </w:rPr>
              <w:t>园区应用需结合多阶段决策</w:t>
            </w:r>
          </w:p>
        </w:tc>
        <w:tc>
          <w:tcPr>
            <w:tcW w:type="dxa" w:w="2608"/>
            <w:vAlign w:val="center"/>
          </w:tcPr>
          <w:p>
            <w:pPr>
              <w:spacing w:line="276" w:lineRule="auto" w:after="80" w:before="80"/>
            </w:pPr>
            <w:r>
              <w:rPr>
                <w:rFonts w:ascii="Times New Roman" w:hAnsi="Times New Roman" w:eastAsia="宋体" w:cs="Times New Roman"/>
                <w:b w:val="0"/>
                <w:sz w:val="18"/>
              </w:rPr>
              <w:t>有完整运行数据后，检验预测增益是否转化为运行价值</w:t>
            </w:r>
          </w:p>
        </w:tc>
        <w:tc>
          <w:tcPr>
            <w:tcW w:type="dxa" w:w="2608"/>
            <w:vAlign w:val="center"/>
          </w:tcPr>
          <w:p>
            <w:pPr>
              <w:spacing w:line="276" w:lineRule="auto" w:after="80" w:before="80"/>
            </w:pPr>
            <w:r>
              <w:rPr>
                <w:rFonts w:ascii="Times New Roman" w:hAnsi="Times New Roman" w:eastAsia="宋体" w:cs="Times New Roman"/>
                <w:b w:val="0"/>
                <w:sz w:val="18"/>
              </w:rPr>
              <w:t>统一负荷、电价、约束与末端处理；无运行数据时不评价经济最优时距</w:t>
            </w:r>
          </w:p>
        </w:tc>
      </w:tr>
    </w:tbl>
    <w:p>
      <w:pPr>
        <w:spacing w:after="0"/>
      </w:pPr>
    </w:p>
    <w:p>
      <w:pPr>
        <w:ind w:firstLine="440"/>
      </w:pPr>
      <w:r>
        <w:rPr>
          <w:rFonts w:ascii="Times New Roman" w:hAnsi="Times New Roman" w:eastAsia="宋体" w:cs="Times New Roman"/>
        </w:rPr>
        <w:t>这些比较支持将研究定位于“信息增益关系的条件化验证”，而非重新提出多源融合、遮挡建模或SHAP。建筑与空间资料支持园区场景解释，真实预报档案支持输入可用性，分层消融支持条件增益，归因稳定性检查支持模型依赖判断；四类证据各有作用，不能彼此替代。</w:t>
      </w:r>
    </w:p>
    <w:p>
      <w:pPr>
        <w:pStyle w:val="Heading1"/>
      </w:pPr>
      <w:r>
        <w:rPr>
          <w:rFonts w:ascii="Times New Roman" w:hAnsi="Times New Roman" w:eastAsia="宋体" w:cs="Times New Roman"/>
        </w:rPr>
        <w:t>4 待研究问题与研究定位</w:t>
      </w:r>
    </w:p>
    <w:p>
      <w:pPr>
        <w:pStyle w:val="Heading2"/>
      </w:pPr>
      <w:r>
        <w:rPr>
          <w:rFonts w:ascii="Times New Roman" w:hAnsi="Times New Roman" w:eastAsia="宋体" w:cs="Times New Roman"/>
        </w:rPr>
        <w:t>4.1 从已有研究中界定不足</w:t>
      </w:r>
    </w:p>
    <w:p>
      <w:pPr>
        <w:ind w:firstLine="440"/>
      </w:pPr>
      <w:r>
        <w:rPr>
          <w:rFonts w:ascii="Times New Roman" w:hAnsi="Times New Roman" w:eastAsia="宋体" w:cs="Times New Roman"/>
        </w:rPr>
        <w:t>现有文献已经覆盖多时距预测、信息融合、SHAP、概率预测和预测驱动调度。本文不将这些技术的组合本身作为创新，也不以“尚无统一最优时距”证明研究空白。所纳入证据尚不足以直接回答目标园区在真实信息可用性条件下的信息增益、解释稳定性及关键突降表现。这里包含两类问题：已有主题在园区中的适用性验证，以及尚需形成统一证据链的条件关系。后者若要成为论文贡献，须进一步与同类原始研究逐项比较。</w:t>
      </w:r>
    </w:p>
    <w:p>
      <w:pPr>
        <w:pStyle w:val="Heading2"/>
      </w:pPr>
      <w:r>
        <w:rPr>
          <w:rFonts w:ascii="Times New Roman" w:hAnsi="Times New Roman" w:eastAsia="宋体" w:cs="Times New Roman"/>
        </w:rPr>
        <w:t>4.2 聚焦的研究问题</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研究问题</w:t>
            </w:r>
          </w:p>
        </w:tc>
        <w:tc>
          <w:tcPr>
            <w:tcW w:type="dxa" w:w="2324"/>
            <w:vAlign w:val="center"/>
            <w:shd w:fill="E8EFF7"/>
          </w:tcPr>
          <w:p>
            <w:pPr>
              <w:spacing w:line="276" w:lineRule="auto" w:after="80" w:before="80"/>
            </w:pPr>
            <w:r>
              <w:rPr>
                <w:rFonts w:ascii="Times New Roman" w:hAnsi="Times New Roman" w:eastAsia="宋体" w:cs="Times New Roman"/>
                <w:b/>
                <w:sz w:val="18"/>
              </w:rPr>
              <w:t>已有基础</w:t>
            </w:r>
          </w:p>
        </w:tc>
        <w:tc>
          <w:tcPr>
            <w:tcW w:type="dxa" w:w="2608"/>
            <w:vAlign w:val="center"/>
            <w:shd w:fill="E8EFF7"/>
          </w:tcPr>
          <w:p>
            <w:pPr>
              <w:spacing w:line="276" w:lineRule="auto" w:after="80" w:before="80"/>
            </w:pPr>
            <w:r>
              <w:rPr>
                <w:rFonts w:ascii="Times New Roman" w:hAnsi="Times New Roman" w:eastAsia="宋体" w:cs="Times New Roman"/>
                <w:b/>
                <w:sz w:val="18"/>
              </w:rPr>
              <w:t>拟补充的证据</w:t>
            </w:r>
          </w:p>
        </w:tc>
        <w:tc>
          <w:tcPr>
            <w:tcW w:type="dxa" w:w="2608"/>
            <w:vAlign w:val="center"/>
            <w:shd w:fill="E8EFF7"/>
          </w:tcPr>
          <w:p>
            <w:pPr>
              <w:spacing w:line="276" w:lineRule="auto" w:after="80" w:before="80"/>
            </w:pPr>
            <w:r>
              <w:rPr>
                <w:rFonts w:ascii="Times New Roman" w:hAnsi="Times New Roman" w:eastAsia="宋体" w:cs="Times New Roman"/>
                <w:b/>
                <w:sz w:val="18"/>
              </w:rPr>
              <w:t>结论边界</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信息增益如何随提前量变化？</w:t>
            </w:r>
          </w:p>
        </w:tc>
        <w:tc>
          <w:tcPr>
            <w:tcW w:type="dxa" w:w="2324"/>
            <w:vAlign w:val="center"/>
          </w:tcPr>
          <w:p>
            <w:pPr>
              <w:spacing w:line="276" w:lineRule="auto" w:after="80" w:before="80"/>
            </w:pPr>
            <w:r>
              <w:rPr>
                <w:rFonts w:ascii="Times New Roman" w:hAnsi="Times New Roman" w:eastAsia="宋体" w:cs="Times New Roman"/>
                <w:b w:val="0"/>
                <w:sz w:val="18"/>
              </w:rPr>
              <w:t>多源融合与多时距实验已有[13,14]</w:t>
            </w:r>
          </w:p>
        </w:tc>
        <w:tc>
          <w:tcPr>
            <w:tcW w:type="dxa" w:w="2608"/>
            <w:vAlign w:val="center"/>
          </w:tcPr>
          <w:p>
            <w:pPr>
              <w:spacing w:line="276" w:lineRule="auto" w:after="80" w:before="80"/>
            </w:pPr>
            <w:r>
              <w:rPr>
                <w:rFonts w:ascii="Times New Roman" w:hAnsi="Times New Roman" w:eastAsia="宋体" w:cs="Times New Roman"/>
                <w:b w:val="0"/>
                <w:sz w:val="18"/>
              </w:rPr>
              <w:t>同一园区、同一发布规则下，历史功率组与预报气象组的逐提前量消融增益</w:t>
            </w:r>
          </w:p>
        </w:tc>
        <w:tc>
          <w:tcPr>
            <w:tcW w:type="dxa" w:w="2608"/>
            <w:vAlign w:val="center"/>
          </w:tcPr>
          <w:p>
            <w:pPr>
              <w:spacing w:line="276" w:lineRule="auto" w:after="80" w:before="80"/>
            </w:pPr>
            <w:r>
              <w:rPr>
                <w:rFonts w:ascii="Times New Roman" w:hAnsi="Times New Roman" w:eastAsia="宋体" w:cs="Times New Roman"/>
                <w:b w:val="0"/>
                <w:sz w:val="18"/>
              </w:rPr>
              <w:t>不预设存在唯一转换时点；增益可能非单调且依赖天气与季节</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解释是否反映可重复的模型依赖？</w:t>
            </w:r>
          </w:p>
        </w:tc>
        <w:tc>
          <w:tcPr>
            <w:tcW w:type="dxa" w:w="2324"/>
            <w:vAlign w:val="center"/>
          </w:tcPr>
          <w:p>
            <w:pPr>
              <w:spacing w:line="276" w:lineRule="auto" w:after="80" w:before="80"/>
            </w:pPr>
            <w:r>
              <w:rPr>
                <w:rFonts w:ascii="Times New Roman" w:hAnsi="Times New Roman" w:eastAsia="宋体" w:cs="Times New Roman"/>
                <w:b w:val="0"/>
                <w:sz w:val="18"/>
              </w:rPr>
              <w:t>SHAP案例及稳定性讨论已有[7,17,18]</w:t>
            </w:r>
          </w:p>
        </w:tc>
        <w:tc>
          <w:tcPr>
            <w:tcW w:type="dxa" w:w="2608"/>
            <w:vAlign w:val="center"/>
          </w:tcPr>
          <w:p>
            <w:pPr>
              <w:spacing w:line="276" w:lineRule="auto" w:after="80" w:before="80"/>
            </w:pPr>
            <w:r>
              <w:rPr>
                <w:rFonts w:ascii="Times New Roman" w:hAnsi="Times New Roman" w:eastAsia="宋体" w:cs="Times New Roman"/>
                <w:b w:val="0"/>
                <w:sz w:val="18"/>
              </w:rPr>
              <w:t>统一背景规则下的分层归因、重复抽样及独立测试消融</w:t>
            </w:r>
          </w:p>
        </w:tc>
        <w:tc>
          <w:tcPr>
            <w:tcW w:type="dxa" w:w="2608"/>
            <w:vAlign w:val="center"/>
          </w:tcPr>
          <w:p>
            <w:pPr>
              <w:spacing w:line="276" w:lineRule="auto" w:after="80" w:before="80"/>
            </w:pPr>
            <w:r>
              <w:rPr>
                <w:rFonts w:ascii="Times New Roman" w:hAnsi="Times New Roman" w:eastAsia="宋体" w:cs="Times New Roman"/>
                <w:b w:val="0"/>
                <w:sz w:val="18"/>
              </w:rPr>
              <w:t>一致性检验提供模型证据，不能证明物理因果</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上述关系对关键突降是否仍成立？</w:t>
            </w:r>
          </w:p>
        </w:tc>
        <w:tc>
          <w:tcPr>
            <w:tcW w:type="dxa" w:w="2324"/>
            <w:vAlign w:val="center"/>
          </w:tcPr>
          <w:p>
            <w:pPr>
              <w:spacing w:line="276" w:lineRule="auto" w:after="80" w:before="80"/>
            </w:pPr>
            <w:r>
              <w:rPr>
                <w:rFonts w:ascii="Times New Roman" w:hAnsi="Times New Roman" w:eastAsia="宋体" w:cs="Times New Roman"/>
                <w:b w:val="0"/>
                <w:sz w:val="18"/>
              </w:rPr>
              <w:t>专门爬坡指标已有[23]</w:t>
            </w:r>
          </w:p>
        </w:tc>
        <w:tc>
          <w:tcPr>
            <w:tcW w:type="dxa" w:w="2608"/>
            <w:vAlign w:val="center"/>
          </w:tcPr>
          <w:p>
            <w:pPr>
              <w:spacing w:line="276" w:lineRule="auto" w:after="80" w:before="80"/>
            </w:pPr>
            <w:r>
              <w:rPr>
                <w:rFonts w:ascii="Times New Roman" w:hAnsi="Times New Roman" w:eastAsia="宋体" w:cs="Times New Roman"/>
                <w:b w:val="0"/>
                <w:sz w:val="18"/>
              </w:rPr>
              <w:t>园区功率事件的幅度、时间和预警表现，并排除或标记设备因素</w:t>
            </w:r>
          </w:p>
        </w:tc>
        <w:tc>
          <w:tcPr>
            <w:tcW w:type="dxa" w:w="2608"/>
            <w:vAlign w:val="center"/>
          </w:tcPr>
          <w:p>
            <w:pPr>
              <w:spacing w:line="276" w:lineRule="auto" w:after="80" w:before="80"/>
            </w:pPr>
            <w:r>
              <w:rPr>
                <w:rFonts w:ascii="Times New Roman" w:hAnsi="Times New Roman" w:eastAsia="宋体" w:cs="Times New Roman"/>
                <w:b w:val="0"/>
                <w:sz w:val="18"/>
              </w:rPr>
              <w:t>不从整体RMSE改善直接推断突降预警有效</w:t>
            </w:r>
          </w:p>
        </w:tc>
      </w:tr>
    </w:tbl>
    <w:p>
      <w:pPr>
        <w:spacing w:after="0"/>
      </w:pPr>
    </w:p>
    <w:p>
      <w:pPr>
        <w:ind w:firstLine="440"/>
      </w:pPr>
      <w:r>
        <w:rPr>
          <w:rFonts w:ascii="Times New Roman" w:hAnsi="Times New Roman" w:eastAsia="宋体" w:cs="Times New Roman"/>
        </w:rPr>
        <w:t>据此，主问题可表述为：在严格遵守预测发布时间的信息条件下，园区历史功率与预报气象信息的增量价值如何随提前量、天气和季节变化，且这种变化是否与模型归因及关键突降表现相互印证？</w:t>
      </w:r>
    </w:p>
    <w:p>
      <w:pPr>
        <w:ind w:firstLine="440"/>
      </w:pPr>
      <w:r>
        <w:rPr>
          <w:rFonts w:ascii="Times New Roman" w:hAnsi="Times New Roman" w:eastAsia="宋体" w:cs="Times New Roman"/>
        </w:rPr>
        <w:t>输入精度门槛、跨园区泛化、概率轨迹风险和经济最优时距可作为后续扩展，不宜在缺少相应数据时同时列为本研究已解决的目标。尤其应将“本园区尚未验证”与“学术领域尚未研究”区分开。</w:t>
      </w:r>
    </w:p>
    <w:p>
      <w:pPr>
        <w:pStyle w:val="Heading2"/>
      </w:pPr>
      <w:r>
        <w:rPr>
          <w:rFonts w:ascii="Times New Roman" w:hAnsi="Times New Roman" w:eastAsia="宋体" w:cs="Times New Roman"/>
        </w:rPr>
        <w:t>4.3 可检验假设与判定原则</w:t>
      </w:r>
    </w:p>
    <w:p>
      <w:pPr>
        <w:ind w:firstLine="440"/>
      </w:pPr>
      <w:r>
        <w:rPr>
          <w:rFonts w:ascii="Times New Roman" w:hAnsi="Times New Roman" w:eastAsia="宋体" w:cs="Times New Roman"/>
        </w:rPr>
        <w:t>将历史功率组记为H、发布时刻可获得的预报气象组记为W，共同保留的日历、太阳位置及可用历史气象组记为C。对相同模型族分别训练C+H、C+W和C+H+W。令E为同一测试条件下的nRMSE，则预报组的条件增益G_W=E(C+H)−E(C+H+W)，历史功率组的条件增益G_H=E(C+W)−E(C+H+W)，相对增益差D=G_W−G_H。它们是给定模型族、共同输入和训练规则下的性能差值，不是可加的物理贡献；增益为负也应报告。</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假设</w:t>
            </w:r>
          </w:p>
        </w:tc>
        <w:tc>
          <w:tcPr>
            <w:tcW w:type="dxa" w:w="2324"/>
            <w:vAlign w:val="center"/>
            <w:shd w:fill="E8EFF7"/>
          </w:tcPr>
          <w:p>
            <w:pPr>
              <w:spacing w:line="276" w:lineRule="auto" w:after="80" w:before="80"/>
            </w:pPr>
            <w:r>
              <w:rPr>
                <w:rFonts w:ascii="Times New Roman" w:hAnsi="Times New Roman" w:eastAsia="宋体" w:cs="Times New Roman"/>
                <w:b/>
                <w:sz w:val="18"/>
              </w:rPr>
              <w:t>预先定义的对照</w:t>
            </w:r>
          </w:p>
        </w:tc>
        <w:tc>
          <w:tcPr>
            <w:tcW w:type="dxa" w:w="2608"/>
            <w:vAlign w:val="center"/>
            <w:shd w:fill="E8EFF7"/>
          </w:tcPr>
          <w:p>
            <w:pPr>
              <w:spacing w:line="276" w:lineRule="auto" w:after="80" w:before="80"/>
            </w:pPr>
            <w:r>
              <w:rPr>
                <w:rFonts w:ascii="Times New Roman" w:hAnsi="Times New Roman" w:eastAsia="宋体" w:cs="Times New Roman"/>
                <w:b/>
                <w:sz w:val="18"/>
              </w:rPr>
              <w:t>主要判断依据</w:t>
            </w:r>
          </w:p>
        </w:tc>
        <w:tc>
          <w:tcPr>
            <w:tcW w:type="dxa" w:w="2608"/>
            <w:vAlign w:val="center"/>
            <w:shd w:fill="E8EFF7"/>
          </w:tcPr>
          <w:p>
            <w:pPr>
              <w:spacing w:line="276" w:lineRule="auto" w:after="80" w:before="80"/>
            </w:pPr>
            <w:r>
              <w:rPr>
                <w:rFonts w:ascii="Times New Roman" w:hAnsi="Times New Roman" w:eastAsia="宋体" w:cs="Times New Roman"/>
                <w:b/>
                <w:sz w:val="18"/>
              </w:rPr>
              <w:t>未获支持时如何解释</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H1：较远提前量下，预报相对历史功率的增益更大</w:t>
            </w:r>
          </w:p>
        </w:tc>
        <w:tc>
          <w:tcPr>
            <w:tcW w:type="dxa" w:w="2324"/>
            <w:vAlign w:val="center"/>
          </w:tcPr>
          <w:p>
            <w:pPr>
              <w:spacing w:line="276" w:lineRule="auto" w:after="80" w:before="80"/>
            </w:pPr>
            <w:r>
              <w:rPr>
                <w:rFonts w:ascii="Times New Roman" w:hAnsi="Times New Roman" w:eastAsia="宋体" w:cs="Times New Roman"/>
                <w:b w:val="0"/>
                <w:sz w:val="18"/>
              </w:rPr>
              <w:t>比较0—4小时与8—24小时窗口的D，4—8小时单独报告</w:t>
            </w:r>
          </w:p>
        </w:tc>
        <w:tc>
          <w:tcPr>
            <w:tcW w:type="dxa" w:w="2608"/>
            <w:vAlign w:val="center"/>
          </w:tcPr>
          <w:p>
            <w:pPr>
              <w:spacing w:line="276" w:lineRule="auto" w:after="80" w:before="80"/>
            </w:pPr>
            <w:r>
              <w:rPr>
                <w:rFonts w:ascii="Times New Roman" w:hAnsi="Times New Roman" w:eastAsia="宋体" w:cs="Times New Roman"/>
                <w:b w:val="0"/>
                <w:sz w:val="18"/>
              </w:rPr>
              <w:t>配对时间块估计D远−D近及其95%区间，并与预设实际意义阈值比较</w:t>
            </w:r>
          </w:p>
        </w:tc>
        <w:tc>
          <w:tcPr>
            <w:tcW w:type="dxa" w:w="2608"/>
            <w:vAlign w:val="center"/>
          </w:tcPr>
          <w:p>
            <w:pPr>
              <w:spacing w:line="276" w:lineRule="auto" w:after="80" w:before="80"/>
            </w:pPr>
            <w:r>
              <w:rPr>
                <w:rFonts w:ascii="Times New Roman" w:hAnsi="Times New Roman" w:eastAsia="宋体" w:cs="Times New Roman"/>
                <w:b w:val="0"/>
                <w:sz w:val="18"/>
              </w:rPr>
              <w:t>不预设单调变化或唯一转换时点；可能受预报质量、昼夜和模型适配影响</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H2：天气或季节改变提前量与信息增益的关系</w:t>
            </w:r>
          </w:p>
        </w:tc>
        <w:tc>
          <w:tcPr>
            <w:tcW w:type="dxa" w:w="2324"/>
            <w:vAlign w:val="center"/>
          </w:tcPr>
          <w:p>
            <w:pPr>
              <w:spacing w:line="276" w:lineRule="auto" w:after="80" w:before="80"/>
            </w:pPr>
            <w:r>
              <w:rPr>
                <w:rFonts w:ascii="Times New Roman" w:hAnsi="Times New Roman" w:eastAsia="宋体" w:cs="Times New Roman"/>
                <w:b w:val="0"/>
                <w:sz w:val="18"/>
              </w:rPr>
              <w:t>在共同有效样本与冻结的分类规则下，比较D随提前量变化的分层差值</w:t>
            </w:r>
          </w:p>
        </w:tc>
        <w:tc>
          <w:tcPr>
            <w:tcW w:type="dxa" w:w="2608"/>
            <w:vAlign w:val="center"/>
          </w:tcPr>
          <w:p>
            <w:pPr>
              <w:spacing w:line="276" w:lineRule="auto" w:after="80" w:before="80"/>
            </w:pPr>
            <w:r>
              <w:rPr>
                <w:rFonts w:ascii="Times New Roman" w:hAnsi="Times New Roman" w:eastAsia="宋体" w:cs="Times New Roman"/>
                <w:b w:val="0"/>
                <w:sz w:val="18"/>
              </w:rPr>
              <w:t>报告交互差值、区间与各层样本量，而非仅比较各层各自的显著性</w:t>
            </w:r>
          </w:p>
        </w:tc>
        <w:tc>
          <w:tcPr>
            <w:tcW w:type="dxa" w:w="2608"/>
            <w:vAlign w:val="center"/>
          </w:tcPr>
          <w:p>
            <w:pPr>
              <w:spacing w:line="276" w:lineRule="auto" w:after="80" w:before="80"/>
            </w:pPr>
            <w:r>
              <w:rPr>
                <w:rFonts w:ascii="Times New Roman" w:hAnsi="Times New Roman" w:eastAsia="宋体" w:cs="Times New Roman"/>
                <w:b w:val="0"/>
                <w:sz w:val="18"/>
              </w:rPr>
              <w:t>差异可能小于波动；季节覆盖不足时不作全年推断</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H3：组归因与消融增益具有可重复的正向对应</w:t>
            </w:r>
          </w:p>
        </w:tc>
        <w:tc>
          <w:tcPr>
            <w:tcW w:type="dxa" w:w="2324"/>
            <w:vAlign w:val="center"/>
          </w:tcPr>
          <w:p>
            <w:pPr>
              <w:spacing w:line="276" w:lineRule="auto" w:after="80" w:before="80"/>
            </w:pPr>
            <w:r>
              <w:rPr>
                <w:rFonts w:ascii="Times New Roman" w:hAnsi="Times New Roman" w:eastAsia="宋体" w:cs="Times New Roman"/>
                <w:b w:val="0"/>
                <w:sz w:val="18"/>
              </w:rPr>
              <w:t>固定若干不重叠信息组，对同一输出目标比较平均绝对归因与删除组后的误差变化</w:t>
            </w:r>
          </w:p>
        </w:tc>
        <w:tc>
          <w:tcPr>
            <w:tcW w:type="dxa" w:w="2608"/>
            <w:vAlign w:val="center"/>
          </w:tcPr>
          <w:p>
            <w:pPr>
              <w:spacing w:line="276" w:lineRule="auto" w:after="80" w:before="80"/>
            </w:pPr>
            <w:r>
              <w:rPr>
                <w:rFonts w:ascii="Times New Roman" w:hAnsi="Times New Roman" w:eastAsia="宋体" w:cs="Times New Roman"/>
                <w:b w:val="0"/>
                <w:sz w:val="18"/>
              </w:rPr>
              <w:t>按天气/季节和时间块报告排名对应、方向一致性及稳定性</w:t>
            </w:r>
          </w:p>
        </w:tc>
        <w:tc>
          <w:tcPr>
            <w:tcW w:type="dxa" w:w="2608"/>
            <w:vAlign w:val="center"/>
          </w:tcPr>
          <w:p>
            <w:pPr>
              <w:spacing w:line="276" w:lineRule="auto" w:after="80" w:before="80"/>
            </w:pPr>
            <w:r>
              <w:rPr>
                <w:rFonts w:ascii="Times New Roman" w:hAnsi="Times New Roman" w:eastAsia="宋体" w:cs="Times New Roman"/>
                <w:b w:val="0"/>
                <w:sz w:val="18"/>
              </w:rPr>
              <w:t>相关组替代、交互或重新拟合可导致不一致；少量组的排名相关仅作描述</w:t>
            </w:r>
          </w:p>
        </w:tc>
      </w:tr>
    </w:tbl>
    <w:p>
      <w:pPr>
        <w:spacing w:after="0"/>
      </w:pPr>
    </w:p>
    <w:p>
      <w:pPr>
        <w:ind w:firstLine="440"/>
      </w:pPr>
      <w:r>
        <w:rPr>
          <w:rFonts w:ascii="Times New Roman" w:hAnsi="Times New Roman" w:eastAsia="宋体" w:cs="Times New Roman"/>
        </w:rPr>
        <w:t>H1、H2为条件增益假设，H3为模型解释验证假设，均待实证检验。主指标、信息分组、提前量窗口、天气分类、最低样本要求、实际意义阈值和多重比较处理应在测试前记录。建议对有限的主要比较采用统一校正方法，例如Holm校正；探索性逐步曲线单独报告。统计区间跨越零表示证据不足，不等于证明效应不存在。实际意义阈值应结合测量分辨率与业务可接受误差预先确定，不能依据测试结果事后挑选。</w:t>
      </w:r>
    </w:p>
    <w:p>
      <w:pPr>
        <w:ind w:firstLine="440"/>
      </w:pPr>
      <w:r>
        <w:rPr>
          <w:rFonts w:ascii="Times New Roman" w:hAnsi="Times New Roman" w:eastAsia="宋体" w:cs="Times New Roman"/>
        </w:rPr>
        <w:t>以未来实测天气作分层只用于事后诊断，不能作为部署时已知的模型路由条件。若拟按天气切换模型，切换规则必须使用发布时刻已取得的预报或观测信息。关键突降作为上述假设的重点诊断场景，不要求整体误差改善必然转化为事件预警改善。</w:t>
      </w:r>
    </w:p>
    <w:p>
      <w:pPr>
        <w:pStyle w:val="Heading2"/>
      </w:pPr>
      <w:r>
        <w:rPr>
          <w:rFonts w:ascii="Times New Roman" w:hAnsi="Times New Roman" w:eastAsia="宋体" w:cs="Times New Roman"/>
        </w:rPr>
        <w:t>4.4 研究贡献的适用范围</w:t>
      </w:r>
    </w:p>
    <w:p>
      <w:pPr>
        <w:ind w:firstLine="440"/>
      </w:pPr>
      <w:r>
        <w:rPr>
          <w:rFonts w:ascii="Times New Roman" w:hAnsi="Times New Roman" w:eastAsia="宋体" w:cs="Times New Roman"/>
        </w:rPr>
        <w:t>最低数据条件为时间同步的交流侧功率、明确的容量与设备状态、足够时间覆盖及真实预报档案。在此条件下，可形成总量预测的信息增益、归因稳定性和事件评价证据。增加分区/遮挡记录后，才能讨论园区结构对这些关系的调节作用；增加负荷、电价与可调资源记录后，才能讨论运行收益。单园区结果首先属于场景证据；若要主张跨园区一般性，需另设外部站点或留园区验证。</w:t>
      </w:r>
    </w:p>
    <w:p>
      <w:pPr>
        <w:ind w:firstLine="440"/>
      </w:pPr>
      <w:r>
        <w:rPr>
          <w:rFonts w:ascii="Times New Roman" w:hAnsi="Times New Roman" w:eastAsia="宋体" w:cs="Times New Roman"/>
        </w:rPr>
        <w:t>本文拟补充的证据是不同模型族、提前量与天气/季节条件下的一致验证，而不是已经证明的新规律。与既有研究的差异最终应由原文方法对照和实施结果共同确认。详细的数据规则、基准设置和统计程序列于附录A，以区分文献结论与拟开展工作。</w:t>
      </w:r>
    </w:p>
    <w:p>
      <w:pPr>
        <w:pStyle w:val="Heading1"/>
      </w:pPr>
      <w:r>
        <w:rPr>
          <w:rFonts w:ascii="Times New Roman" w:hAnsi="Times New Roman" w:eastAsia="宋体" w:cs="Times New Roman"/>
        </w:rPr>
        <w:t>5 结论</w:t>
      </w:r>
    </w:p>
    <w:p>
      <w:pPr>
        <w:ind w:firstLine="440"/>
      </w:pPr>
      <w:r>
        <w:rPr>
          <w:rFonts w:ascii="Times New Roman" w:hAnsi="Times New Roman" w:eastAsia="宋体" w:cs="Times New Roman"/>
        </w:rPr>
        <w:t>园区光伏预测应先明确决策用途、测量对象、时间参数和信息可用性，再评价误差、关键事件和运行效果。现有标准提供并网与预测系统的技术框架，中英文文献已覆盖多时距融合、解释分析、概率预测和预测驱动调度。因此，研究价值应落实在明确场景与统一条件下的可检验关系，而不应仅来自模型名称、SHAP应用或预测点数的改变。</w:t>
      </w:r>
    </w:p>
    <w:p>
      <w:pPr>
        <w:ind w:firstLine="440"/>
      </w:pPr>
      <w:r>
        <w:rPr>
          <w:rFonts w:ascii="Times New Roman" w:hAnsi="Times New Roman" w:eastAsia="宋体" w:cs="Times New Roman"/>
        </w:rPr>
        <w:t>园区场景的意义在于可核验的设备、遮挡、聚合和决策条件，而不只是研究地点的命名。与相关原始研究比较后，本文将待检验内容落实为相对信息增益、天气/季节交互及归因—消融对应三项假设。采用竞争性树模型、条件允许的物理转换基准与时序模型，可以检验结论是否依赖特定模型族；没有足够数据时，应主动缩小空间、季节或运行价值的结论范围。</w:t>
      </w:r>
    </w:p>
    <w:p>
      <w:pPr>
        <w:ind w:firstLine="440"/>
      </w:pPr>
      <w:r>
        <w:rPr>
          <w:rFonts w:ascii="Times New Roman" w:hAnsi="Times New Roman" w:eastAsia="宋体" w:cs="Times New Roman"/>
        </w:rPr>
        <w:t>预测性能、解释证据与运行收益属于不同层级。只有具备负荷、电价、储能及约束数据并完成一致的滚动回测，才能进一步讨论园区运行价值和有用预测时距；在此之前，结论应限定在预测与信息贡献范围。</w:t>
      </w:r>
    </w:p>
    <w:p>
      <w:pPr>
        <w:pStyle w:val="Heading1"/>
        <w:pageBreakBefore/>
      </w:pPr>
      <w:r>
        <w:rPr>
          <w:rFonts w:ascii="Times New Roman" w:hAnsi="Times New Roman" w:eastAsia="宋体" w:cs="Times New Roman"/>
        </w:rPr>
        <w:t>附录A 拟开展研究的实施方案</w:t>
      </w:r>
    </w:p>
    <w:p>
      <w:pPr>
        <w:pStyle w:val="Heading2"/>
      </w:pPr>
      <w:r>
        <w:rPr>
          <w:rFonts w:ascii="Times New Roman" w:hAnsi="Times New Roman" w:eastAsia="宋体" w:cs="Times New Roman"/>
        </w:rPr>
        <w:t>A.1 数据边界与时间划分</w:t>
      </w:r>
    </w:p>
    <w:p>
      <w:pPr>
        <w:ind w:firstLine="440"/>
      </w:pPr>
      <w:r>
        <w:rPr>
          <w:rFonts w:ascii="Times New Roman" w:hAnsi="Times New Roman" w:eastAsia="宋体" w:cs="Times New Roman"/>
        </w:rPr>
        <w:t>首先明确交流侧预测对象、测点、容量口径、时区及功率值的区间含义，记录限发、检修、故障、容量变动与缺测状态。气象数据应区分历史实测与未来预报，并保留起报时刻、实际可获取时刻、有效时刻和版本。发布时间之后才取得的数据不能用于该次预测；事后更新的预报不能回填为当时可用输入。[13,14]</w:t>
      </w:r>
    </w:p>
    <w:p>
      <w:pPr>
        <w:ind w:firstLine="440"/>
      </w:pPr>
      <w:r>
        <w:rPr>
          <w:rFonts w:ascii="Times New Roman" w:hAnsi="Times New Roman" w:eastAsia="宋体" w:cs="Times New Roman"/>
        </w:rPr>
        <w:t>训练、验证和测试按时间顺序划分。归一化、缺测填补、特征选择及参数调优仅使用训练数据和规定的验证数据；跨越时间边界的目标窗口应剔除，避免训练目标进入验证或测试区间。测试阶段使用过去已观测到的功率作为输入符合滚动预测规则，但不能使用测试期未来目标。若测试期覆盖不足，应限定季节结论，不能把全年表现作为已证实事实。</w:t>
      </w:r>
    </w:p>
    <w:p>
      <w:pPr>
        <w:pStyle w:val="Heading2"/>
      </w:pPr>
      <w:r>
        <w:rPr>
          <w:rFonts w:ascii="Times New Roman" w:hAnsi="Times New Roman" w:eastAsia="宋体" w:cs="Times New Roman"/>
        </w:rPr>
        <w:t>A.2 分离两类时距实验</w:t>
      </w:r>
    </w:p>
    <w:p>
      <w:pPr>
        <w:ind w:firstLine="440"/>
      </w:pPr>
      <w:r>
        <w:rPr>
          <w:rFonts w:ascii="Times New Roman" w:hAnsi="Times New Roman" w:eastAsia="宋体" w:cs="Times New Roman"/>
        </w:rPr>
        <w:t>对于连续15分钟区间输出，可将1、2、4、8、12、18和24小时作为候选覆盖窗口，其输出长度分别为4、8、16、32、48、72和96。初轮固定历史窗口为24小时；历史窗口长短的比较在后续单独开展，避免同时改变多个因素。</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实验</w:t>
            </w:r>
          </w:p>
        </w:tc>
        <w:tc>
          <w:tcPr>
            <w:tcW w:type="dxa" w:w="3572"/>
            <w:vAlign w:val="center"/>
            <w:shd w:fill="E8EFF7"/>
          </w:tcPr>
          <w:p>
            <w:pPr>
              <w:spacing w:line="276" w:lineRule="auto" w:after="80" w:before="80"/>
            </w:pPr>
            <w:r>
              <w:rPr>
                <w:rFonts w:ascii="Times New Roman" w:hAnsi="Times New Roman" w:eastAsia="宋体" w:cs="Times New Roman"/>
                <w:b/>
                <w:sz w:val="18"/>
              </w:rPr>
              <w:t>固定条件与变化项</w:t>
            </w:r>
          </w:p>
        </w:tc>
        <w:tc>
          <w:tcPr>
            <w:tcW w:type="dxa" w:w="4195"/>
            <w:vAlign w:val="center"/>
            <w:shd w:fill="E8EFF7"/>
          </w:tcPr>
          <w:p>
            <w:pPr>
              <w:spacing w:line="276" w:lineRule="auto" w:after="80" w:before="80"/>
            </w:pPr>
            <w:r>
              <w:rPr>
                <w:rFonts w:ascii="Times New Roman" w:hAnsi="Times New Roman" w:eastAsia="宋体" w:cs="Times New Roman"/>
                <w:b/>
                <w:sz w:val="18"/>
              </w:rPr>
              <w:t>回答的问题</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A：同一模型逐提前量评价</w:t>
            </w:r>
          </w:p>
        </w:tc>
        <w:tc>
          <w:tcPr>
            <w:tcW w:type="dxa" w:w="3572"/>
            <w:vAlign w:val="center"/>
          </w:tcPr>
          <w:p>
            <w:pPr>
              <w:spacing w:line="276" w:lineRule="auto" w:after="80" w:before="80"/>
            </w:pPr>
            <w:r>
              <w:rPr>
                <w:rFonts w:ascii="Times New Roman" w:hAnsi="Times New Roman" w:eastAsia="宋体" w:cs="Times New Roman"/>
                <w:b w:val="0"/>
                <w:sz w:val="18"/>
              </w:rPr>
              <w:t>固定模型与训练目标，例如输出96步；评价每步及预定义子窗口</w:t>
            </w:r>
          </w:p>
        </w:tc>
        <w:tc>
          <w:tcPr>
            <w:tcW w:type="dxa" w:w="4195"/>
            <w:vAlign w:val="center"/>
          </w:tcPr>
          <w:p>
            <w:pPr>
              <w:spacing w:line="276" w:lineRule="auto" w:after="80" w:before="80"/>
            </w:pPr>
            <w:r>
              <w:rPr>
                <w:rFonts w:ascii="Times New Roman" w:hAnsi="Times New Roman" w:eastAsia="宋体" w:cs="Times New Roman"/>
                <w:b w:val="0"/>
                <w:sz w:val="18"/>
              </w:rPr>
              <w:t>给定模型的信息增益和误差如何随提前量变化？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B：不同输出时距模型选型</w:t>
            </w:r>
          </w:p>
        </w:tc>
        <w:tc>
          <w:tcPr>
            <w:tcW w:type="dxa" w:w="3572"/>
            <w:vAlign w:val="center"/>
          </w:tcPr>
          <w:p>
            <w:pPr>
              <w:spacing w:line="276" w:lineRule="auto" w:after="80" w:before="80"/>
            </w:pPr>
            <w:r>
              <w:rPr>
                <w:rFonts w:ascii="Times New Roman" w:hAnsi="Times New Roman" w:eastAsia="宋体" w:cs="Times New Roman"/>
                <w:b w:val="0"/>
                <w:sz w:val="18"/>
              </w:rPr>
              <w:t>分别训练16、32、48、72、96步模型，统一数据边界、模型族和调优预算</w:t>
            </w:r>
          </w:p>
        </w:tc>
        <w:tc>
          <w:tcPr>
            <w:tcW w:type="dxa" w:w="4195"/>
            <w:vAlign w:val="center"/>
          </w:tcPr>
          <w:p>
            <w:pPr>
              <w:spacing w:line="276" w:lineRule="auto" w:after="80" w:before="80"/>
            </w:pPr>
            <w:r>
              <w:rPr>
                <w:rFonts w:ascii="Times New Roman" w:hAnsi="Times New Roman" w:eastAsia="宋体" w:cs="Times New Roman"/>
                <w:b w:val="0"/>
                <w:sz w:val="18"/>
              </w:rPr>
              <w:t>为不同覆盖窗口单独优化模型时，性能与开销如何变化？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C：历史窗口敏感性</w:t>
            </w:r>
          </w:p>
        </w:tc>
        <w:tc>
          <w:tcPr>
            <w:tcW w:type="dxa" w:w="3572"/>
            <w:vAlign w:val="center"/>
          </w:tcPr>
          <w:p>
            <w:pPr>
              <w:spacing w:line="276" w:lineRule="auto" w:after="80" w:before="80"/>
            </w:pPr>
            <w:r>
              <w:rPr>
                <w:rFonts w:ascii="Times New Roman" w:hAnsi="Times New Roman" w:eastAsia="宋体" w:cs="Times New Roman"/>
                <w:b w:val="0"/>
                <w:sz w:val="18"/>
              </w:rPr>
              <w:t>固定任务与其他设置，再比较24/48小时等输入窗口</w:t>
            </w:r>
          </w:p>
        </w:tc>
        <w:tc>
          <w:tcPr>
            <w:tcW w:type="dxa" w:w="4195"/>
            <w:vAlign w:val="center"/>
          </w:tcPr>
          <w:p>
            <w:pPr>
              <w:spacing w:line="276" w:lineRule="auto" w:after="80" w:before="80"/>
            </w:pPr>
            <w:r>
              <w:rPr>
                <w:rFonts w:ascii="Times New Roman" w:hAnsi="Times New Roman" w:eastAsia="宋体" w:cs="Times New Roman"/>
                <w:b w:val="0"/>
                <w:sz w:val="18"/>
              </w:rPr>
              <w:t>增加历史信息是否带来稳定增益？</w:t>
            </w:r>
          </w:p>
        </w:tc>
      </w:tr>
    </w:tbl>
    <w:p>
      <w:pPr>
        <w:spacing w:after="0"/>
      </w:pPr>
    </w:p>
    <w:p>
      <w:pPr>
        <w:ind w:firstLine="440"/>
      </w:pPr>
      <w:r>
        <w:rPr>
          <w:rFonts w:ascii="Times New Roman" w:hAnsi="Times New Roman" w:eastAsia="宋体" w:cs="Times New Roman"/>
        </w:rPr>
        <w:t>实验A的短窗口结果来自长时距模型的前缀，并不等同于短时距专门模型的最优表现；实验B则包含训练目标改变的影响，不宜归因为提前量本身。所有模型比较使用共同的测试发布时间和完整有效目标范围；天气分层、白昼过滤和容量分母采用同一规则。超参数仅在验证集选择，随机训练模型采用多次运行并报告波动。</w:t>
      </w:r>
    </w:p>
    <w:p>
      <w:pPr>
        <w:ind w:firstLine="440"/>
      </w:pPr>
      <w:r>
        <w:rPr>
          <w:rFonts w:ascii="Times New Roman" w:hAnsi="Times New Roman" w:eastAsia="宋体" w:cs="Times New Roman"/>
        </w:rPr>
        <w:t>近期功率持续性、上一日同时间和具备晴空信息时的智能持续性基准用于检验基本技能；进一步的模型比较见A.3。持续性并非所有时距的最佳基准，应解释夜间、跨日和晴空指数的处理。</w:t>
      </w:r>
    </w:p>
    <w:p>
      <w:pPr>
        <w:pStyle w:val="Heading2"/>
      </w:pPr>
      <w:r>
        <w:rPr>
          <w:rFonts w:ascii="Times New Roman" w:hAnsi="Times New Roman" w:eastAsia="宋体" w:cs="Times New Roman"/>
        </w:rPr>
        <w:t>A.3 基准模型、输入公平性与计算成本</w:t>
      </w:r>
    </w:p>
    <w:p>
      <w:pPr>
        <w:ind w:firstLine="440"/>
      </w:pPr>
      <w:r>
        <w:rPr>
          <w:rFonts w:ascii="Times New Roman" w:hAnsi="Times New Roman" w:eastAsia="宋体" w:cs="Times New Roman"/>
        </w:rPr>
        <w:t>LightGBM与XGBoost作为竞争性的梯度提升树基准，不预设其在目标园区优于或弱于时序模型。两者均有成熟的原始方法文献；它们的通用算法结果不等于园区预测效果。若试验预算有限，可在验证集上按预先记录的规则选择其中一种，测试集不参与选择。[26,27]</w:t>
      </w:r>
    </w:p>
    <w:tbl>
      <w:tblPr>
        <w:tblStyle w:val="TableGrid"/>
        <w:tblW w:type="auto" w:w="0"/>
        <w:jc w:val="center"/>
        <w:tblLayout w:type="fixed"/>
        <w:tblLook w:firstColumn="1" w:firstRow="1" w:lastColumn="0" w:lastRow="0" w:noHBand="0" w:noVBand="1" w:val="04A0"/>
      </w:tblPr>
      <w:tblGrid>
        <w:gridCol w:w="1984"/>
        <w:gridCol w:w="2324"/>
        <w:gridCol w:w="2608"/>
        <w:gridCol w:w="2608"/>
      </w:tblGrid>
      <w:tr>
        <w:trPr>
          <w:cantSplit/>
          <w:tblHeader/>
        </w:trPr>
        <w:tc>
          <w:tcPr>
            <w:tcW w:type="dxa" w:w="1984"/>
            <w:vAlign w:val="center"/>
            <w:shd w:fill="E8EFF7"/>
          </w:tcPr>
          <w:p>
            <w:pPr>
              <w:spacing w:line="276" w:lineRule="auto" w:after="80" w:before="80"/>
            </w:pPr>
            <w:r>
              <w:rPr>
                <w:rFonts w:ascii="Times New Roman" w:hAnsi="Times New Roman" w:eastAsia="宋体" w:cs="Times New Roman"/>
                <w:b/>
                <w:sz w:val="18"/>
              </w:rPr>
              <w:t>比较层级</w:t>
            </w:r>
          </w:p>
        </w:tc>
        <w:tc>
          <w:tcPr>
            <w:tcW w:type="dxa" w:w="2324"/>
            <w:vAlign w:val="center"/>
            <w:shd w:fill="E8EFF7"/>
          </w:tcPr>
          <w:p>
            <w:pPr>
              <w:spacing w:line="276" w:lineRule="auto" w:after="80" w:before="80"/>
            </w:pPr>
            <w:r>
              <w:rPr>
                <w:rFonts w:ascii="Times New Roman" w:hAnsi="Times New Roman" w:eastAsia="宋体" w:cs="Times New Roman"/>
                <w:b/>
                <w:sz w:val="18"/>
              </w:rPr>
              <w:t>候选方法</w:t>
            </w:r>
          </w:p>
        </w:tc>
        <w:tc>
          <w:tcPr>
            <w:tcW w:type="dxa" w:w="2608"/>
            <w:vAlign w:val="center"/>
            <w:shd w:fill="E8EFF7"/>
          </w:tcPr>
          <w:p>
            <w:pPr>
              <w:spacing w:line="276" w:lineRule="auto" w:after="80" w:before="80"/>
            </w:pPr>
            <w:r>
              <w:rPr>
                <w:rFonts w:ascii="Times New Roman" w:hAnsi="Times New Roman" w:eastAsia="宋体" w:cs="Times New Roman"/>
                <w:b/>
                <w:sz w:val="18"/>
              </w:rPr>
              <w:t>输入与实现要求</w:t>
            </w:r>
          </w:p>
        </w:tc>
        <w:tc>
          <w:tcPr>
            <w:tcW w:type="dxa" w:w="2608"/>
            <w:vAlign w:val="center"/>
            <w:shd w:fill="E8EFF7"/>
          </w:tcPr>
          <w:p>
            <w:pPr>
              <w:spacing w:line="276" w:lineRule="auto" w:after="80" w:before="80"/>
            </w:pPr>
            <w:r>
              <w:rPr>
                <w:rFonts w:ascii="Times New Roman" w:hAnsi="Times New Roman" w:eastAsia="宋体" w:cs="Times New Roman"/>
                <w:b/>
                <w:sz w:val="18"/>
              </w:rPr>
              <w:t>用途</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简单基准</w:t>
            </w:r>
          </w:p>
        </w:tc>
        <w:tc>
          <w:tcPr>
            <w:tcW w:type="dxa" w:w="2324"/>
            <w:vAlign w:val="center"/>
          </w:tcPr>
          <w:p>
            <w:pPr>
              <w:spacing w:line="276" w:lineRule="auto" w:after="80" w:before="80"/>
            </w:pPr>
            <w:r>
              <w:rPr>
                <w:rFonts w:ascii="Times New Roman" w:hAnsi="Times New Roman" w:eastAsia="宋体" w:cs="Times New Roman"/>
                <w:b w:val="0"/>
                <w:sz w:val="18"/>
              </w:rPr>
              <w:t>持续性、上一日同时间、智能持续性</w:t>
            </w:r>
          </w:p>
        </w:tc>
        <w:tc>
          <w:tcPr>
            <w:tcW w:type="dxa" w:w="2608"/>
            <w:vAlign w:val="center"/>
          </w:tcPr>
          <w:p>
            <w:pPr>
              <w:spacing w:line="276" w:lineRule="auto" w:after="80" w:before="80"/>
            </w:pPr>
            <w:r>
              <w:rPr>
                <w:rFonts w:ascii="Times New Roman" w:hAnsi="Times New Roman" w:eastAsia="宋体" w:cs="Times New Roman"/>
                <w:b w:val="0"/>
                <w:sz w:val="18"/>
              </w:rPr>
              <w:t>仅用发布时刻可获得信息；统一边界与昼夜规则</w:t>
            </w:r>
          </w:p>
        </w:tc>
        <w:tc>
          <w:tcPr>
            <w:tcW w:type="dxa" w:w="2608"/>
            <w:vAlign w:val="center"/>
          </w:tcPr>
          <w:p>
            <w:pPr>
              <w:spacing w:line="276" w:lineRule="auto" w:after="80" w:before="80"/>
            </w:pPr>
            <w:r>
              <w:rPr>
                <w:rFonts w:ascii="Times New Roman" w:hAnsi="Times New Roman" w:eastAsia="宋体" w:cs="Times New Roman"/>
                <w:b w:val="0"/>
                <w:sz w:val="18"/>
              </w:rPr>
              <w:t>确认模型相对基本预测的技能</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统计学习基准</w:t>
            </w:r>
          </w:p>
        </w:tc>
        <w:tc>
          <w:tcPr>
            <w:tcW w:type="dxa" w:w="2324"/>
            <w:vAlign w:val="center"/>
          </w:tcPr>
          <w:p>
            <w:pPr>
              <w:spacing w:line="276" w:lineRule="auto" w:after="80" w:before="80"/>
            </w:pPr>
            <w:r>
              <w:rPr>
                <w:rFonts w:ascii="Times New Roman" w:hAnsi="Times New Roman" w:eastAsia="宋体" w:cs="Times New Roman"/>
                <w:b w:val="0"/>
                <w:sz w:val="18"/>
              </w:rPr>
              <w:t>LightGBM或XGBoost</w:t>
            </w:r>
          </w:p>
        </w:tc>
        <w:tc>
          <w:tcPr>
            <w:tcW w:type="dxa" w:w="2608"/>
            <w:vAlign w:val="center"/>
          </w:tcPr>
          <w:p>
            <w:pPr>
              <w:spacing w:line="276" w:lineRule="auto" w:after="80" w:before="80"/>
            </w:pPr>
            <w:r>
              <w:rPr>
                <w:rFonts w:ascii="Times New Roman" w:hAnsi="Times New Roman" w:eastAsia="宋体" w:cs="Times New Roman"/>
                <w:b w:val="0"/>
                <w:sz w:val="18"/>
              </w:rPr>
              <w:t>与时序模型共享同一历史范围、预报版本和特征信息；说明展开或摘要方式</w:t>
            </w:r>
          </w:p>
        </w:tc>
        <w:tc>
          <w:tcPr>
            <w:tcW w:type="dxa" w:w="2608"/>
            <w:vAlign w:val="center"/>
          </w:tcPr>
          <w:p>
            <w:pPr>
              <w:spacing w:line="276" w:lineRule="auto" w:after="80" w:before="80"/>
            </w:pPr>
            <w:r>
              <w:rPr>
                <w:rFonts w:ascii="Times New Roman" w:hAnsi="Times New Roman" w:eastAsia="宋体" w:cs="Times New Roman"/>
                <w:b w:val="0"/>
                <w:sz w:val="18"/>
              </w:rPr>
              <w:t>判断复杂模型是否优于合理调优的树模型</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时序模型</w:t>
            </w:r>
          </w:p>
        </w:tc>
        <w:tc>
          <w:tcPr>
            <w:tcW w:type="dxa" w:w="2324"/>
            <w:vAlign w:val="center"/>
          </w:tcPr>
          <w:p>
            <w:pPr>
              <w:spacing w:line="276" w:lineRule="auto" w:after="80" w:before="80"/>
            </w:pPr>
            <w:r>
              <w:rPr>
                <w:rFonts w:ascii="Times New Roman" w:hAnsi="Times New Roman" w:eastAsia="宋体" w:cs="Times New Roman"/>
                <w:b w:val="0"/>
                <w:sz w:val="18"/>
              </w:rPr>
              <w:t>现有研究模型及至少一种结构明确的时序基准</w:t>
            </w:r>
          </w:p>
        </w:tc>
        <w:tc>
          <w:tcPr>
            <w:tcW w:type="dxa" w:w="2608"/>
            <w:vAlign w:val="center"/>
          </w:tcPr>
          <w:p>
            <w:pPr>
              <w:spacing w:line="276" w:lineRule="auto" w:after="80" w:before="80"/>
            </w:pPr>
            <w:r>
              <w:rPr>
                <w:rFonts w:ascii="Times New Roman" w:hAnsi="Times New Roman" w:eastAsia="宋体" w:cs="Times New Roman"/>
                <w:b w:val="0"/>
                <w:sz w:val="18"/>
              </w:rPr>
              <w:t>记录模型族、多步输出策略、参数量和调优预算</w:t>
            </w:r>
          </w:p>
        </w:tc>
        <w:tc>
          <w:tcPr>
            <w:tcW w:type="dxa" w:w="2608"/>
            <w:vAlign w:val="center"/>
          </w:tcPr>
          <w:p>
            <w:pPr>
              <w:spacing w:line="276" w:lineRule="auto" w:after="80" w:before="80"/>
            </w:pPr>
            <w:r>
              <w:rPr>
                <w:rFonts w:ascii="Times New Roman" w:hAnsi="Times New Roman" w:eastAsia="宋体" w:cs="Times New Roman"/>
                <w:b w:val="0"/>
                <w:sz w:val="18"/>
              </w:rPr>
              <w:t>检验信息增益是否依赖模型结构</w:t>
            </w:r>
          </w:p>
        </w:tc>
      </w:tr>
      <w:tr>
        <w:trPr>
          <w:cantSplit/>
        </w:trPr>
        <w:tc>
          <w:tcPr>
            <w:tcW w:type="dxa" w:w="1984"/>
            <w:vAlign w:val="center"/>
          </w:tcPr>
          <w:p>
            <w:pPr>
              <w:spacing w:line="276" w:lineRule="auto" w:after="80" w:before="80"/>
            </w:pPr>
            <w:r>
              <w:rPr>
                <w:rFonts w:ascii="Times New Roman" w:hAnsi="Times New Roman" w:eastAsia="宋体" w:cs="Times New Roman"/>
                <w:b w:val="0"/>
                <w:sz w:val="18"/>
              </w:rPr>
              <w:t>物理转换基准（条件性）</w:t>
            </w:r>
          </w:p>
        </w:tc>
        <w:tc>
          <w:tcPr>
            <w:tcW w:type="dxa" w:w="2324"/>
            <w:vAlign w:val="center"/>
          </w:tcPr>
          <w:p>
            <w:pPr>
              <w:spacing w:line="276" w:lineRule="auto" w:after="80" w:before="80"/>
            </w:pPr>
            <w:r>
              <w:rPr>
                <w:rFonts w:ascii="Times New Roman" w:hAnsi="Times New Roman" w:eastAsia="宋体" w:cs="Times New Roman"/>
                <w:b w:val="0"/>
                <w:sz w:val="18"/>
              </w:rPr>
              <w:t>预报辐照度—组件温度—直流功率—逆变器交流功率</w:t>
            </w:r>
          </w:p>
        </w:tc>
        <w:tc>
          <w:tcPr>
            <w:tcW w:type="dxa" w:w="2608"/>
            <w:vAlign w:val="center"/>
          </w:tcPr>
          <w:p>
            <w:pPr>
              <w:spacing w:line="276" w:lineRule="auto" w:after="80" w:before="80"/>
            </w:pPr>
            <w:r>
              <w:rPr>
                <w:rFonts w:ascii="Times New Roman" w:hAnsi="Times New Roman" w:eastAsia="宋体" w:cs="Times New Roman"/>
                <w:b w:val="0"/>
                <w:sz w:val="18"/>
              </w:rPr>
              <w:t>已知朝向、倾角、容量及所需参数，统一预报来源</w:t>
            </w:r>
          </w:p>
        </w:tc>
        <w:tc>
          <w:tcPr>
            <w:tcW w:type="dxa" w:w="2608"/>
            <w:vAlign w:val="center"/>
          </w:tcPr>
          <w:p>
            <w:pPr>
              <w:spacing w:line="276" w:lineRule="auto" w:after="80" w:before="80"/>
            </w:pPr>
            <w:r>
              <w:rPr>
                <w:rFonts w:ascii="Times New Roman" w:hAnsi="Times New Roman" w:eastAsia="宋体" w:cs="Times New Roman"/>
                <w:b w:val="0"/>
                <w:sz w:val="18"/>
              </w:rPr>
              <w:t>比较学习方法与明确物理转换链的表现</w:t>
            </w:r>
          </w:p>
        </w:tc>
      </w:tr>
    </w:tbl>
    <w:p>
      <w:pPr>
        <w:spacing w:after="0"/>
      </w:pPr>
    </w:p>
    <w:p>
      <w:pPr>
        <w:ind w:firstLine="440"/>
      </w:pPr>
      <w:r>
        <w:rPr>
          <w:rFonts w:ascii="Times New Roman" w:hAnsi="Times New Roman" w:eastAsia="宋体" w:cs="Times New Roman"/>
        </w:rPr>
        <w:t>物理基准可用pvlib等工具实现，但工具本身不能替代输入与现场参数核验。若缺少阵列参数或辐照分量，应列明采用的简化和估计，不能以不合理设置故意削弱基准；分区建模需要各分区参数与同步测量。辐照转置、温度、损耗、削顶和限发处理应与预测目标对应，校准只用训练/验证期数据。[28]</w:t>
      </w:r>
    </w:p>
    <w:p>
      <w:pPr>
        <w:ind w:firstLine="440"/>
      </w:pPr>
      <w:r>
        <w:rPr>
          <w:rFonts w:ascii="Times New Roman" w:hAnsi="Times New Roman" w:eastAsia="宋体" w:cs="Times New Roman"/>
        </w:rPr>
        <w:t>数据驱动模型使用相同的信息边界和候选特征内容；树模型采用滞后展开、摘要或逐提前量预报匹配时，应说明与时序模型输入表示的差异。LightGBM/XGBoost的多步预测可采用逐步直接模型或共享提前量特征的模型，策略在验证期确定并固定，调优及推理成本按整个预测窗口计算。不同输入丰富度的实验应另列为信息条件比较，避免把输入优势归为模型优势。</w:t>
      </w:r>
    </w:p>
    <w:p>
      <w:pPr>
        <w:ind w:firstLine="440"/>
      </w:pPr>
      <w:r>
        <w:rPr>
          <w:rFonts w:ascii="Times New Roman" w:hAnsi="Times New Roman" w:eastAsia="宋体" w:cs="Times New Roman"/>
        </w:rPr>
        <w:t>在相同硬件与测量规则下报告训练时间、峰值内存、完整窗口推理延迟、参数量或模型大小，以及按时发布比例。解释计算的耗时单列，不与在线推理混合。若复杂模型未稳定优于树模型，应报告该结果，并讨论信息质量或任务本身的限制；不能仅凭优于持续性就证明模型复杂度合理。</w:t>
      </w:r>
    </w:p>
    <w:p>
      <w:pPr>
        <w:pStyle w:val="Heading2"/>
      </w:pPr>
      <w:r>
        <w:rPr>
          <w:rFonts w:ascii="Times New Roman" w:hAnsi="Times New Roman" w:eastAsia="宋体" w:cs="Times New Roman"/>
        </w:rPr>
        <w:t>A.4 SHAP目标与重训练消融</w:t>
      </w:r>
    </w:p>
    <w:p>
      <w:pPr>
        <w:ind w:firstLine="440"/>
      </w:pPr>
      <w:r>
        <w:rPr>
          <w:rFonts w:ascii="Times New Roman" w:hAnsi="Times New Roman" w:eastAsia="宋体" w:cs="Times New Roman"/>
        </w:rPr>
        <w:t>应分别定义以下三种统计对象。第一，解释第k步输出fₖ，得到该提前量的归因；第二，先定义窗口平均输出g=(f₁+…+f_K)/K，再解释g；第三，分别解释多步后，对绝对SHAP值求平均，得到跨步归因强度。第二种与第三种不同：绝对值处理消除了方向信息，不能将“平均绝对贡献”称为“平均功率输出的归因”。在相同背景、特征定义和精确Shapley规则下，归因对输出的线性组合可具有线性关系，但不能默认不同近似算法或不同背景下的结果等价。</w:t>
      </w:r>
    </w:p>
    <w:p>
      <w:pPr>
        <w:ind w:firstLine="440"/>
      </w:pPr>
      <w:r>
        <w:rPr>
          <w:rFonts w:ascii="Times New Roman" w:hAnsi="Times New Roman" w:eastAsia="宋体" w:cs="Times New Roman"/>
        </w:rPr>
        <w:t>实施时记录解释算法、背景样本、特征分组、输出目标、样本数量和随机性。高维时序输入可按历史功率、历史气象、预报气象及日历/太阳位置等信息组汇总，再按提前量、天气和季节比较；背景样本应来自训练期并采用一致选取规则，必要时单独检查背景选择敏感性。只有历史实测气象而没有真实预报气象时，研究应改为历史信息贡献分析，不宜使用“未来预报信息转换”这一结论。</w:t>
      </w:r>
    </w:p>
    <w:p>
      <w:pPr>
        <w:ind w:firstLine="440"/>
      </w:pPr>
      <w:r>
        <w:rPr>
          <w:rFonts w:ascii="Times New Roman" w:hAnsi="Times New Roman" w:eastAsia="宋体" w:cs="Times New Roman"/>
        </w:rPr>
        <w:t>重训练消融使用相同时间划分、调优规则和测试样本，比较全信息模型与删去某组信息后重新训练的模型。可定义某组信息的RMSE增益为ΔRMSE=RMSE₋组−RMSE全；正值表示在该模型族与训练规则下加入该组降低误差。相关特征之间可能相互替代，删去单变量的增益较小不等于该物理变量不重要。建议同时比较组消融和必要的联合消融。</w:t>
      </w:r>
    </w:p>
    <w:p>
      <w:pPr>
        <w:ind w:firstLine="440"/>
      </w:pPr>
      <w:r>
        <w:rPr>
          <w:rFonts w:ascii="Times New Roman" w:hAnsi="Times New Roman" w:eastAsia="宋体" w:cs="Times New Roman"/>
        </w:rPr>
        <w:t>解释稳定性可用归因强度区间、排名相关或前若干特征集合的一致性描述；实际预测增益用误差差值及其不确定性描述。对于重叠多步窗口，可采用按日或适当长度时间块的配对重采样，避免将相邻15分钟样本当作独立观测。重采样块长应结合误差相关性说明。若不同条件下的差异小于统计波动，应报告未获得稳定证据，不强行寻找“转换时点”。</w:t>
      </w:r>
    </w:p>
    <w:p>
      <w:pPr>
        <w:pStyle w:val="Heading2"/>
      </w:pPr>
      <w:r>
        <w:rPr>
          <w:rFonts w:ascii="Times New Roman" w:hAnsi="Times New Roman" w:eastAsia="宋体" w:cs="Times New Roman"/>
        </w:rPr>
        <w:t>A.5 关键突降评价</w:t>
      </w:r>
    </w:p>
    <w:p>
      <w:pPr>
        <w:ind w:firstLine="440"/>
      </w:pPr>
      <w:r>
        <w:rPr>
          <w:rFonts w:ascii="Times New Roman" w:hAnsi="Times New Roman" w:eastAsia="宋体" w:cs="Times New Roman"/>
        </w:rPr>
        <w:t>在验证期预先规定突降幅度阈值、持续时间、事件起止、合并规则及匹配容差，再冻结规则用于测试。阈值可以容量归一化功率变化表示，并在有调节数据时对应储能或负荷的可调功率。设备故障与限发应标记，避免将运行干预全部归因于天气。</w:t>
      </w:r>
    </w:p>
    <w:p>
      <w:pPr>
        <w:ind w:firstLine="440"/>
      </w:pPr>
      <w:r>
        <w:rPr>
          <w:rFonts w:ascii="Times New Roman" w:hAnsi="Times New Roman" w:eastAsia="宋体" w:cs="Times New Roman"/>
        </w:rPr>
        <w:t>事件匹配采用预先规定的一对一规则，报告查准率、召回率、F1、幅度误差与发生时刻偏差。可用预警提前量应根据首次满足预警条件的预测发布时间计算，并扣除数据获取、计算和通信延迟；某次预测覆盖了事件，并不代表其提供了有效提前预警。事件数不足时，应报告样本量与不确定性，不仅给出单一F1。[23]</w:t>
      </w:r>
    </w:p>
    <w:p>
      <w:pPr>
        <w:pStyle w:val="Heading2"/>
      </w:pPr>
      <w:r>
        <w:rPr>
          <w:rFonts w:ascii="Times New Roman" w:hAnsi="Times New Roman" w:eastAsia="宋体" w:cs="Times New Roman"/>
        </w:rPr>
        <w:t>A.6 指标与扩展评价</w:t>
      </w:r>
    </w:p>
    <w:tbl>
      <w:tblPr>
        <w:tblStyle w:val="TableGrid"/>
        <w:tblW w:type="auto" w:w="0"/>
        <w:jc w:val="center"/>
        <w:tblLayout w:type="fixed"/>
        <w:tblLook w:firstColumn="1" w:firstRow="1" w:lastColumn="0" w:lastRow="0" w:noHBand="0" w:noVBand="1" w:val="04A0"/>
      </w:tblPr>
      <w:tblGrid>
        <w:gridCol w:w="1757"/>
        <w:gridCol w:w="3572"/>
        <w:gridCol w:w="4195"/>
      </w:tblGrid>
      <w:tr>
        <w:trPr>
          <w:cantSplit/>
          <w:tblHeader/>
        </w:trPr>
        <w:tc>
          <w:tcPr>
            <w:tcW w:type="dxa" w:w="1757"/>
            <w:vAlign w:val="center"/>
            <w:shd w:fill="E8EFF7"/>
          </w:tcPr>
          <w:p>
            <w:pPr>
              <w:spacing w:line="276" w:lineRule="auto" w:after="80" w:before="80"/>
            </w:pPr>
            <w:r>
              <w:rPr>
                <w:rFonts w:ascii="Times New Roman" w:hAnsi="Times New Roman" w:eastAsia="宋体" w:cs="Times New Roman"/>
                <w:b/>
                <w:sz w:val="18"/>
              </w:rPr>
              <w:t>评价层级</w:t>
            </w:r>
          </w:p>
        </w:tc>
        <w:tc>
          <w:tcPr>
            <w:tcW w:type="dxa" w:w="3572"/>
            <w:vAlign w:val="center"/>
            <w:shd w:fill="E8EFF7"/>
          </w:tcPr>
          <w:p>
            <w:pPr>
              <w:spacing w:line="276" w:lineRule="auto" w:after="80" w:before="80"/>
            </w:pPr>
            <w:r>
              <w:rPr>
                <w:rFonts w:ascii="Times New Roman" w:hAnsi="Times New Roman" w:eastAsia="宋体" w:cs="Times New Roman"/>
                <w:b/>
                <w:sz w:val="18"/>
              </w:rPr>
              <w:t>核心指标</w:t>
            </w:r>
          </w:p>
        </w:tc>
        <w:tc>
          <w:tcPr>
            <w:tcW w:type="dxa" w:w="4195"/>
            <w:vAlign w:val="center"/>
            <w:shd w:fill="E8EFF7"/>
          </w:tcPr>
          <w:p>
            <w:pPr>
              <w:spacing w:line="276" w:lineRule="auto" w:after="80" w:before="80"/>
            </w:pPr>
            <w:r>
              <w:rPr>
                <w:rFonts w:ascii="Times New Roman" w:hAnsi="Times New Roman" w:eastAsia="宋体" w:cs="Times New Roman"/>
                <w:b/>
                <w:sz w:val="18"/>
              </w:rPr>
              <w:t>必须说明的条件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逐点预测</w:t>
            </w:r>
          </w:p>
        </w:tc>
        <w:tc>
          <w:tcPr>
            <w:tcW w:type="dxa" w:w="3572"/>
            <w:vAlign w:val="center"/>
          </w:tcPr>
          <w:p>
            <w:pPr>
              <w:spacing w:line="276" w:lineRule="auto" w:after="80" w:before="80"/>
            </w:pPr>
            <w:r>
              <w:rPr>
                <w:rFonts w:ascii="Times New Roman" w:hAnsi="Times New Roman" w:eastAsia="宋体" w:cs="Times New Roman"/>
                <w:b w:val="0"/>
                <w:sz w:val="18"/>
              </w:rPr>
              <w:t>MAE、RMSE、nMAE、nRMSE、MBE</w:t>
            </w:r>
          </w:p>
        </w:tc>
        <w:tc>
          <w:tcPr>
            <w:tcW w:type="dxa" w:w="4195"/>
            <w:vAlign w:val="center"/>
          </w:tcPr>
          <w:p>
            <w:pPr>
              <w:spacing w:line="276" w:lineRule="auto" w:after="80" w:before="80"/>
            </w:pPr>
            <w:r>
              <w:rPr>
                <w:rFonts w:ascii="Times New Roman" w:hAnsi="Times New Roman" w:eastAsia="宋体" w:cs="Times New Roman"/>
                <w:b w:val="0"/>
                <w:sz w:val="18"/>
              </w:rPr>
              <w:t>单位、容量分母、误差方向约定、提前量与昼夜规则</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基准增益</w:t>
            </w:r>
          </w:p>
        </w:tc>
        <w:tc>
          <w:tcPr>
            <w:tcW w:type="dxa" w:w="3572"/>
            <w:vAlign w:val="center"/>
          </w:tcPr>
          <w:p>
            <w:pPr>
              <w:spacing w:line="276" w:lineRule="auto" w:after="80" w:before="80"/>
            </w:pPr>
            <w:r>
              <w:rPr>
                <w:rFonts w:ascii="Times New Roman" w:hAnsi="Times New Roman" w:eastAsia="宋体" w:cs="Times New Roman"/>
                <w:b w:val="0"/>
                <w:sz w:val="18"/>
              </w:rPr>
              <w:t>Skill=1−E模型/E基准</w:t>
            </w:r>
          </w:p>
        </w:tc>
        <w:tc>
          <w:tcPr>
            <w:tcW w:type="dxa" w:w="4195"/>
            <w:vAlign w:val="center"/>
          </w:tcPr>
          <w:p>
            <w:pPr>
              <w:spacing w:line="276" w:lineRule="auto" w:after="80" w:before="80"/>
            </w:pPr>
            <w:r>
              <w:rPr>
                <w:rFonts w:ascii="Times New Roman" w:hAnsi="Times New Roman" w:eastAsia="宋体" w:cs="Times New Roman"/>
                <w:b w:val="0"/>
                <w:sz w:val="18"/>
              </w:rPr>
              <w:t>E为相同样本上的同一误差指标；基准误差为零时不定义</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窗口电量</w:t>
            </w:r>
          </w:p>
        </w:tc>
        <w:tc>
          <w:tcPr>
            <w:tcW w:type="dxa" w:w="3572"/>
            <w:vAlign w:val="center"/>
          </w:tcPr>
          <w:p>
            <w:pPr>
              <w:spacing w:line="276" w:lineRule="auto" w:after="80" w:before="80"/>
            </w:pPr>
            <w:r>
              <w:rPr>
                <w:rFonts w:ascii="Times New Roman" w:hAnsi="Times New Roman" w:eastAsia="宋体" w:cs="Times New Roman"/>
                <w:b w:val="0"/>
                <w:sz w:val="18"/>
              </w:rPr>
              <w:t>ΔE=Σ(预测功率−实测功率)Δt及其绝对统计量</w:t>
            </w:r>
          </w:p>
        </w:tc>
        <w:tc>
          <w:tcPr>
            <w:tcW w:type="dxa" w:w="4195"/>
            <w:vAlign w:val="center"/>
          </w:tcPr>
          <w:p>
            <w:pPr>
              <w:spacing w:line="276" w:lineRule="auto" w:after="80" w:before="80"/>
            </w:pPr>
            <w:r>
              <w:rPr>
                <w:rFonts w:ascii="Times New Roman" w:hAnsi="Times New Roman" w:eastAsia="宋体" w:cs="Times New Roman"/>
                <w:b w:val="0"/>
                <w:sz w:val="18"/>
              </w:rPr>
              <w:t>功率为区间平均值时可直接积分；瞬时点需说明积分近似</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解释与消融</w:t>
            </w:r>
          </w:p>
        </w:tc>
        <w:tc>
          <w:tcPr>
            <w:tcW w:type="dxa" w:w="3572"/>
            <w:vAlign w:val="center"/>
          </w:tcPr>
          <w:p>
            <w:pPr>
              <w:spacing w:line="276" w:lineRule="auto" w:after="80" w:before="80"/>
            </w:pPr>
            <w:r>
              <w:rPr>
                <w:rFonts w:ascii="Times New Roman" w:hAnsi="Times New Roman" w:eastAsia="宋体" w:cs="Times New Roman"/>
                <w:b w:val="0"/>
                <w:sz w:val="18"/>
              </w:rPr>
              <w:t>分层归因强度、排名稳定性、ΔRMSE及区间</w:t>
            </w:r>
          </w:p>
        </w:tc>
        <w:tc>
          <w:tcPr>
            <w:tcW w:type="dxa" w:w="4195"/>
            <w:vAlign w:val="center"/>
          </w:tcPr>
          <w:p>
            <w:pPr>
              <w:spacing w:line="276" w:lineRule="auto" w:after="80" w:before="80"/>
            </w:pPr>
            <w:r>
              <w:rPr>
                <w:rFonts w:ascii="Times New Roman" w:hAnsi="Times New Roman" w:eastAsia="宋体" w:cs="Times New Roman"/>
                <w:b w:val="0"/>
                <w:sz w:val="18"/>
              </w:rPr>
              <w:t>相同解释目标、背景规则、训练和测试条件</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关键突降</w:t>
            </w:r>
          </w:p>
        </w:tc>
        <w:tc>
          <w:tcPr>
            <w:tcW w:type="dxa" w:w="3572"/>
            <w:vAlign w:val="center"/>
          </w:tcPr>
          <w:p>
            <w:pPr>
              <w:spacing w:line="276" w:lineRule="auto" w:after="80" w:before="80"/>
            </w:pPr>
            <w:r>
              <w:rPr>
                <w:rFonts w:ascii="Times New Roman" w:hAnsi="Times New Roman" w:eastAsia="宋体" w:cs="Times New Roman"/>
                <w:b w:val="0"/>
                <w:sz w:val="18"/>
              </w:rPr>
              <w:t>查准率、召回率、F1、幅度/时间误差、预警提前量</w:t>
            </w:r>
          </w:p>
        </w:tc>
        <w:tc>
          <w:tcPr>
            <w:tcW w:type="dxa" w:w="4195"/>
            <w:vAlign w:val="center"/>
          </w:tcPr>
          <w:p>
            <w:pPr>
              <w:spacing w:line="276" w:lineRule="auto" w:after="80" w:before="80"/>
            </w:pPr>
            <w:r>
              <w:rPr>
                <w:rFonts w:ascii="Times New Roman" w:hAnsi="Times New Roman" w:eastAsia="宋体" w:cs="Times New Roman"/>
                <w:b w:val="0"/>
                <w:sz w:val="18"/>
              </w:rPr>
              <w:t>固定事件阈值、匹配规则、样本量及服务延迟</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概率预测扩展</w:t>
            </w:r>
          </w:p>
        </w:tc>
        <w:tc>
          <w:tcPr>
            <w:tcW w:type="dxa" w:w="3572"/>
            <w:vAlign w:val="center"/>
          </w:tcPr>
          <w:p>
            <w:pPr>
              <w:spacing w:line="276" w:lineRule="auto" w:after="80" w:before="80"/>
            </w:pPr>
            <w:r>
              <w:rPr>
                <w:rFonts w:ascii="Times New Roman" w:hAnsi="Times New Roman" w:eastAsia="宋体" w:cs="Times New Roman"/>
                <w:b w:val="0"/>
                <w:sz w:val="18"/>
              </w:rPr>
              <w:t>目标覆盖率与实际覆盖率、区间宽度、Pinball loss/CRPS</w:t>
            </w:r>
          </w:p>
        </w:tc>
        <w:tc>
          <w:tcPr>
            <w:tcW w:type="dxa" w:w="4195"/>
            <w:vAlign w:val="center"/>
          </w:tcPr>
          <w:p>
            <w:pPr>
              <w:spacing w:line="276" w:lineRule="auto" w:after="80" w:before="80"/>
            </w:pPr>
            <w:r>
              <w:rPr>
                <w:rFonts w:ascii="Times New Roman" w:hAnsi="Times New Roman" w:eastAsia="宋体" w:cs="Times New Roman"/>
                <w:b w:val="0"/>
                <w:sz w:val="18"/>
              </w:rPr>
              <w:t>报告概率水平；逐点覆盖不能代替整条轨迹覆盖</w:t>
            </w:r>
          </w:p>
        </w:tc>
      </w:tr>
      <w:tr>
        <w:trPr>
          <w:cantSplit/>
        </w:trPr>
        <w:tc>
          <w:tcPr>
            <w:tcW w:type="dxa" w:w="1757"/>
            <w:vAlign w:val="center"/>
          </w:tcPr>
          <w:p>
            <w:pPr>
              <w:spacing w:line="276" w:lineRule="auto" w:after="80" w:before="80"/>
            </w:pPr>
            <w:r>
              <w:rPr>
                <w:rFonts w:ascii="Times New Roman" w:hAnsi="Times New Roman" w:eastAsia="宋体" w:cs="Times New Roman"/>
                <w:b w:val="0"/>
                <w:sz w:val="18"/>
              </w:rPr>
              <w:t>运行价值扩展</w:t>
            </w:r>
          </w:p>
        </w:tc>
        <w:tc>
          <w:tcPr>
            <w:tcW w:type="dxa" w:w="3572"/>
            <w:vAlign w:val="center"/>
          </w:tcPr>
          <w:p>
            <w:pPr>
              <w:spacing w:line="276" w:lineRule="auto" w:after="80" w:before="80"/>
            </w:pPr>
            <w:r>
              <w:rPr>
                <w:rFonts w:ascii="Times New Roman" w:hAnsi="Times New Roman" w:eastAsia="宋体" w:cs="Times New Roman"/>
                <w:b w:val="0"/>
                <w:sz w:val="18"/>
              </w:rPr>
              <w:t>购电费、需量费、弃光、峰值购电和SOC约束</w:t>
            </w:r>
          </w:p>
        </w:tc>
        <w:tc>
          <w:tcPr>
            <w:tcW w:type="dxa" w:w="4195"/>
            <w:vAlign w:val="center"/>
          </w:tcPr>
          <w:p>
            <w:pPr>
              <w:spacing w:line="276" w:lineRule="auto" w:after="80" w:before="80"/>
            </w:pPr>
            <w:r>
              <w:rPr>
                <w:rFonts w:ascii="Times New Roman" w:hAnsi="Times New Roman" w:eastAsia="宋体" w:cs="Times New Roman"/>
                <w:b w:val="0"/>
                <w:sz w:val="18"/>
              </w:rPr>
              <w:t>明确负荷、电价、储能效率、并网约束及控制规则</w:t>
            </w:r>
          </w:p>
        </w:tc>
      </w:tr>
    </w:tbl>
    <w:p>
      <w:pPr>
        <w:spacing w:after="0"/>
      </w:pPr>
    </w:p>
    <w:p>
      <w:pPr>
        <w:ind w:firstLine="440"/>
      </w:pPr>
      <w:r>
        <w:rPr>
          <w:rFonts w:ascii="Times New Roman" w:hAnsi="Times New Roman" w:eastAsia="宋体" w:cs="Times New Roman"/>
        </w:rPr>
        <w:t>有完整运行数据时，再将候选预测接入同一滚动调度框架，固定求解器、约束、费用口径和计划边界，并控制预测窗口末端的SOC处理，避免不同窗口通过末端放空储能等方式获得不可比收益。与基准预测驱动的调度、必要的完美预知参考进行比较；完美预知仅作为参考上界。缺少上述数据时，只能形成预测性能与信息增益结论，不能宣称得到园区经济最优时距。[2,24,25]</w:t>
      </w:r>
    </w:p>
    <w:p>
      <w:pPr>
        <w:pStyle w:val="Heading1"/>
        <w:pageBreakBefore/>
      </w:pPr>
      <w:r>
        <w:rPr>
          <w:rFonts w:ascii="Times New Roman" w:hAnsi="Times New Roman" w:eastAsia="宋体" w:cs="Times New Roman"/>
        </w:rPr>
        <w:t>参考文献与标准</w:t>
      </w:r>
    </w:p>
    <w:p>
      <w:pPr>
        <w:ind w:firstLine="440"/>
      </w:pPr>
      <w:r>
        <w:rPr>
          <w:rFonts w:ascii="Times New Roman" w:hAnsi="Times New Roman" w:eastAsia="宋体" w:cs="Times New Roman"/>
        </w:rPr>
        <w:t>参考文献按正文及附录首次引用顺序编码。</w:t>
      </w:r>
    </w:p>
    <w:p>
      <w:pPr>
        <w:spacing w:line="276" w:lineRule="auto"/>
        <w:ind w:left="425" w:hanging="425"/>
      </w:pPr>
      <w:r>
        <w:rPr>
          <w:rFonts w:ascii="Times New Roman" w:hAnsi="Times New Roman" w:eastAsia="宋体" w:cs="Times New Roman"/>
          <w:sz w:val="18"/>
        </w:rPr>
        <w:t xml:space="preserve">[1] 国家发展改革委，工业和信息化部，国家能源局. 关于开展零碳园区建设的通知: 发改环资〔2025〕910号[Z/OL]. (2025-06-30)[2026-10-12]. </w:t>
      </w:r>
      <w:hyperlink r:id="rId11">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 魏春晖，单林森，胡大栋，等. 面向需求响应的园区虚拟电厂优化调度策略[J/OL]. 中国电力，2025，58(6)：112-121. </w:t>
      </w:r>
      <w:hyperlink r:id="rId1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[3] Jahn U, Herteleer B, Tjengdrawira C, et al. Guidelines for Operation and Maintenance of Photovoltaic Power Plants in Different Climates: IEA-PVPS T13-25:2022[R/OL]. 2022[2026-10-13]. </w:t>
      </w:r>
      <w:hyperlink r:id="rId13">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[4] 国家市场监督管理总局，国家标准化管理委员会. 光伏发电站接入电力系统技术规定: GB/T 19964—2024[S/OL]. (2024-03-15)[2026-10-12]. </w:t>
      </w:r>
      <w:hyperlink r:id="rId14">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[5] 国家市场监督管理总局，国家标准化管理委员会. 调度侧风电或光伏功率预测系统技术要求: GB/T 40607—2021[S/OL]. (2021-10-11)[2026-10-12]. </w:t>
      </w:r>
      <w:hyperlink r:id="rId15">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[6] 国家能源局. 光伏发电功率预测系统功能规范: NB/T 32031—2025[S/OL]. (2025-09-28发布，2026-03-28实施)[2026-10-12]. </w:t>
      </w:r>
      <w:hyperlink r:id="rId16">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[7] Fu J, Sun Y, Li Y, et al. An investigation of photovoltaic power forecasting in buildings considering shadow effects: Modeling approach and SHAP analysis[J/OL]. Renewable Energy，2025，245：122821. </w:t>
      </w:r>
      <w:hyperlink r:id="rId17">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[8] 董明，李晓枫，杨章，等. 基于数据驱动的分布式光伏发电功率预测方法研究进展[J/OL]. 电网与清洁能源，2024，40(1)：8-17. </w:t>
      </w:r>
      <w:hyperlink r:id="rId18">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[9] 严华江，章坚民，胡瑛俊，等. 考虑空间相关性的分布式光伏发电出力预测及误差评价指标研究[J/OL]. 浙江电力，2020，39(3)：54-60. </w:t>
      </w:r>
      <w:hyperlink r:id="rId19">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[10] 赖昌伟，黎静华，陈博，等. 光伏发电出力预测技术研究综述[J/OL]. 电工技术学报，2019，34(6)：1201-1217. </w:t>
      </w:r>
      <w:hyperlink r:id="rId20">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[11] 董存，王铮，白捷予，等. 光伏发电功率超短期预测方法综述[J/OL]. 高电压技术，2023，49(7)：2938-2951. </w:t>
      </w:r>
      <w:hyperlink r:id="rId21">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[12] 李增伟，王娅云，张容福，等. 基于SE-CNN-BiLSTM与改进Transformer的光伏功率多时间尺度预测方法[J/OL]. 浙江电力，2026，45(3)：120-130. </w:t>
      </w:r>
      <w:hyperlink r:id="rId2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[13] Zhang Y, Zhang Y, Dai Z, et al. Rethinking the use of deep learning methods for photovoltaic power forecasting[J/OL]. Nature Communications，2026，17：7613. </w:t>
      </w:r>
      <w:hyperlink r:id="rId23">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[14] Polášek T, Čadík M. Predicting photovoltaic power production using high-uncertainty weather forecasts[J/OL]. Applied Energy，2023，339：120989. </w:t>
      </w:r>
      <w:hyperlink r:id="rId24">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[15] Yang D, Alessandrini S, Antonanzas J, et al. Verification of deterministic solar forecasts[J/OL]. Solar Energy，2020，210：20-37. </w:t>
      </w:r>
      <w:hyperlink r:id="rId25">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[16] Nguyen T N, Müsgens F. What drives the accuracy of PV output forecasts?[J/OL]. Applied Energy，2022，323：119603. </w:t>
      </w:r>
      <w:hyperlink r:id="rId26">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[17] Mitrentsis G, Lens H. An interpretable probabilistic model for short-term solar power forecasting using natural gradient boosting[J/OL]. Applied Energy，2022，309：118473. </w:t>
      </w:r>
      <w:hyperlink r:id="rId27">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[18] Tufail S. Explainable AI in solar PV forecasting: A systematic review of models, explainers, and physical drivers[J/OL]. Solar Compass，2026，19：100182. </w:t>
      </w:r>
      <w:hyperlink r:id="rId28">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[19] 中国电工技术学会. 光伏发电功率概率预测技术要求: T/CES 139—2022[S/OL]. (2022-09-26发布，2022-09-28实施)[2026-10-12]. </w:t>
      </w:r>
      <w:hyperlink r:id="rId29">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[20] 朱涛，杨欢红，肖峰，等. 基于改进灰狼算法和TCN-QRF的超短期光伏出力概率预测[J/OL]. 浙江电力，2024，43(8)：85-93. </w:t>
      </w:r>
      <w:hyperlink r:id="rId30">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[21] 蒋建东，周才期，常轶哲，等. 基于时序误差分布分析的光伏功率区间预测[J/OL]. 郑州大学学报(理学版)，2026，58(3)：86-94. </w:t>
      </w:r>
      <w:hyperlink r:id="rId31">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[22] Lauret P, Alonso-Suárez R, Amaro e Silva R, et al. The added value of combining solar irradiance data and forecasts: A probabilistic benchmarking exercise[J/OL]. Renewable Energy，2024，237：121574. </w:t>
      </w:r>
      <w:hyperlink r:id="rId32">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[23] Nouri B, Fabel Y, Blum N, et al. Ramp Rate Metric Suitable for Solar Forecasting[J/OL]. Solar RRL，2024，8(24)：2400468. </w:t>
      </w:r>
      <w:hyperlink r:id="rId33">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[24] Gandhi O, Zhang W, Kumar D S, et al. The value of solar forecasts and the cost of their errors: A review[J/OL]. Renewable and Sustainable Energy Reviews，2024，189：113915. </w:t>
      </w:r>
      <w:hyperlink r:id="rId34">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[25] Brown P, Göl M. Bayesian probabilistic photovoltaic power forecasting and stochastic model-predictive control for an agricultural microgrid[J/OL]. Solar Energy，2026，304：114197. </w:t>
      </w:r>
      <w:hyperlink r:id="rId35">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[26] Ke G, Meng Q, Finley T, et al. LightGBM: A Highly Efficient Gradient Boosting Decision Tree[C/OL]//Advances in Neural Information Processing Systems 30. 2017[2026-10-13]. </w:t>
      </w:r>
      <w:hyperlink r:id="rId36">
        <w:r>
          <w:rPr>
            <w:rFonts w:ascii="Times New Roman" w:hAnsi="Times New Roman" w:eastAsia="宋体" w:cs="Times New Roman"/>
            <w:color w:val="0563C1"/>
            <w:u w:val="single"/>
          </w:rPr>
          <w:t>获取地址</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[27] Chen T, Guestrin C. XGBoost: A Scalable Tree Boosting System[C/OL]//Proceedings of the 22nd ACM SIGKDD International Conference on Knowledge Discovery and Data Mining. New York: ACM, 2016: 785-794[2026-10-13]. </w:t>
      </w:r>
      <w:hyperlink r:id="rId37">
        <w:r>
          <w:rPr>
            <w:rFonts w:ascii="Times New Roman" w:hAnsi="Times New Roman" w:eastAsia="宋体" w:cs="Times New Roman"/>
            <w:color w:val="0563C1"/>
            <w:u w:val="single"/>
          </w:rPr>
          <w:t>DOI</w:t>
        </w:r>
      </w:hyperlink>
      <w:r>
        <w:rPr>
          <w:rFonts w:ascii="Times New Roman" w:hAnsi="Times New Roman" w:eastAsia="宋体" w:cs="Times New Roman"/>
          <w:sz w:val="18"/>
        </w:rPr>
        <w:t>.</w:t>
      </w:r>
    </w:p>
    <w:p>
      <w:pPr>
        <w:spacing w:line="276" w:lineRule="auto"/>
        <w:ind w:left="425" w:hanging="425"/>
      </w:pPr>
      <w:r>
        <w:rPr>
          <w:rFonts w:ascii="Times New Roman" w:hAnsi="Times New Roman" w:eastAsia="宋体" w:cs="Times New Roman"/>
          <w:sz w:val="18"/>
        </w:rPr>
        <w:t xml:space="preserve">[28] Holmgren W F, Hansen C W, Mikofski M A. pvlib python: a python package for modeling solar energy systems[J/OL]. Journal of Open Source Software, 2018, 3(29): 884. </w:t>
      </w:r>
      <w:hyperlink r:id="rId38">
        <w:r>
          <w:rPr>
            <w:rFonts w:ascii="Times New Roman" w:hAnsi="Times New Roman" w:eastAsia="宋体" w:cs="Times New Roman"/>
            <w:color w:val="0563C1"/>
            <w:u w:val="single"/>
          </w:rPr>
          <w:t>DOI</w:t>
        </w:r>
      </w:hyperlink>
      <w:r>
        <w:rPr>
          <w:rFonts w:ascii="Times New Roman" w:hAnsi="Times New Roman" w:eastAsia="宋体" w:cs="Times New Roman"/>
          <w:sz w:val="18"/>
        </w:rPr>
        <w:t>.</w:t>
      </w:r>
    </w:p>
    <w:sectPr w:rsidR="00FC693F" w:rsidRPr="0006063C" w:rsidSect="00034616">
      <w:headerReference w:type="default" r:id="rId9"/>
      <w:footerReference w:type="default" r:id="rId10"/>
      <w:pgSz w:w="11906" w:h="16838"/>
      <w:pgMar w:top="1191" w:right="1191" w:bottom="1134" w:left="1191" w:header="510" w:footer="510" w:gutter="0"/>
      <w:cols w:space="720"/>
      <w:docGrid w:linePitch="360"/>
    </w:sectPr>
  </w:body>
</w:document>
</file>

<file path=word/fontTable.xml><?xml version="1.0" encoding="utf-8"?>
<w:fonts xmlns:w="http://schemas.openxmlformats.org/wordprocessingml/2006/main">
  <w:font w:name="宋体">
    <w:family w:val="roman"/>
  </w:font>
  <w:font w:name="Times New Roman">
    <w:family w:val="roman"/>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s="Times New Roman"/>
      </w:rPr>
      <w:t xml:space="preserve">第 </w:t>
    </w:r>
    <w:fldSimple w:instr="PAGE"/>
    <w:r>
      <w:rPr>
        <w:rFonts w:ascii="Times New Roman" w:hAnsi="Times New Roman" w:eastAsia="宋体" w:cs="Times New Roman"/>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宋体" w:cs="Times New Roman"/>
        <w:color w:val="6E6E6E"/>
        <w:sz w:val="16"/>
      </w:rPr>
      <w:t>园区光伏功率预测 · 文献综述修订版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宋体"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宋体"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宋体"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宋体"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pPr>
    <w:rPr>
      <w:rFonts w:ascii="Times New Roman" w:hAnsi="Times New Roman" w:eastAsia="宋体"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HeaderChar">
    <w:name w:val="Header Char"/>
    <w:basedOn w:val="DefaultParagraphFont"/>
    <w:link w:val="Header"/>
    <w:uiPriority w:val="99"/>
    <w:rsid w:val="00E618BF"/>
    <w:rPr>
      <w:rFonts w:ascii="Times New Roman" w:hAnsi="Times New Roman" w:eastAsia="宋体" w:cs="Times New Roman"/>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宋体" w:cs="Times New Roman"/>
    </w:rPr>
  </w:style>
  <w:style w:type="character" w:customStyle="1" w:styleId="FooterChar">
    <w:name w:val="Footer Char"/>
    <w:basedOn w:val="DefaultParagraphFont"/>
    <w:link w:val="Footer"/>
    <w:uiPriority w:val="99"/>
    <w:rsid w:val="00E618B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240" w:after="140"/>
      <w:outlineLvl w:val="0"/>
    </w:pPr>
    <w:rPr>
      <w:rFonts w:ascii="Times New Roman" w:hAnsi="Times New Roman" w:eastAsia="宋体" w:cs="Times New Roman"/>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imes New Roman" w:hAnsi="Times New Roman" w:eastAsia="宋体" w:cs="Times New Roman"/>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240"/>
      <w:contextualSpacing/>
    </w:pPr>
    <w:rPr>
      <w:rFonts w:ascii="Times New Roman" w:hAnsi="Times New Roman" w:eastAsia="宋体" w:cs="Times New Roman"/>
      <w:color w:val="17365D"/>
      <w:spacing w:val="5"/>
      <w:kern w:val="28"/>
      <w:sz w:val="38"/>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hAnsi="Times New Roman" w:eastAsia="宋体"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cs="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宋体"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DefaultParagraphFont">
    <w:name w:val="Default Paragraph Font"/>
    <w:uiPriority w:val="1"/>
    <w:semiHidden/>
    <w:unhideWhenUsed/>
    <w:rPr>
      <w:rFonts w:ascii="Times New Roman" w:hAnsi="Times New Roman" w:eastAsia="宋体" w:cs="Times New Roman"/>
    </w:rPr>
  </w:style>
  <w:style w:type="table" w:default="1" w:styleId="TableNormal">
    <w:name w:val="Normal Table"/>
    <w:uiPriority w:val="99"/>
    <w:semiHidden/>
    <w:unhideWhenUsed/>
    <w:tblPr>
      <w:tblInd w:w="0" w:type="dxa"/>
      <w:tblCellMar>
        <w:top w:w="0" w:type="dxa"/>
        <w:left w:w="108" w:type="dxa"/>
        <w:bottom w:w="0" w:type="dxa"/>
        <w:right w:w="108" w:type="dxa"/>
      </w:tblCellMar>
    </w:tblPr>
    <w:rPr>
      <w:rFonts w:ascii="Times New Roman" w:hAnsi="Times New Roman" w:eastAsia="宋体" w:cs="Times New Roman"/>
    </w:rPr>
  </w:style>
  <w:style w:type="numbering" w:default="1" w:styleId="NoList">
    <w:name w:val="No List"/>
    <w:uiPriority w:val="99"/>
    <w:semiHidden/>
    <w:unhideWhenUsed/>
    <w:rPr>
      <w:rFonts w:ascii="Times New Roman" w:hAnsi="Times New Roman" w:eastAsia="宋体" w:cs="Times New Roman"/>
    </w:rPr>
  </w:style>
  <w:style w:type="paragraph" w:styleId="NoSpacing">
    <w:name w:val="No Spacing"/>
    <w:uiPriority w:val="1"/>
    <w:qFormat/>
    <w:rsid w:val="00FC693F"/>
    <w:pPr>
      <w:spacing w:after="0" w:line="240" w:lineRule="auto"/>
    </w:pPr>
    <w:rPr>
      <w:rFonts w:ascii="Times New Roman" w:hAnsi="Times New Roman" w:eastAsia="宋体" w:cs="Times New Roman"/>
    </w:rPr>
  </w:style>
  <w:style w:type="character" w:customStyle="1" w:styleId="Heading1Char">
    <w:name w:val="Heading 1 Char"/>
    <w:basedOn w:val="DefaultParagraphFont"/>
    <w:link w:val="Heading1"/>
    <w:uiPriority w:val="9"/>
    <w:rsid w:val="00FC693F"/>
    <w:rPr>
      <w:rFonts w:ascii="Times New Roman" w:hAnsi="Times New Roman" w:eastAsia="宋体"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宋体"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宋体"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hAnsi="Times New Roman" w:eastAsia="宋体"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宋体"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宋体"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宋体" w:cs="Times New Roman"/>
    </w:rPr>
  </w:style>
  <w:style w:type="character" w:customStyle="1" w:styleId="BodyTextChar">
    <w:name w:val="Body Text Char"/>
    <w:basedOn w:val="DefaultParagraphFont"/>
    <w:link w:val="BodyText"/>
    <w:uiPriority w:val="99"/>
    <w:rsid w:val="00AA1D8D"/>
    <w:rPr>
      <w:rFonts w:ascii="Times New Roman" w:hAnsi="Times New Roman" w:eastAsia="宋体" w:cs="Times New Roman"/>
    </w:rPr>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宋体" w:cs="Times New Roman"/>
    </w:rPr>
  </w:style>
  <w:style w:type="character" w:customStyle="1" w:styleId="BodyText2Char">
    <w:name w:val="Body Text 2 Char"/>
    <w:basedOn w:val="DefaultParagraphFont"/>
    <w:link w:val="BodyText2"/>
    <w:uiPriority w:val="99"/>
    <w:rsid w:val="00AA1D8D"/>
    <w:rPr>
      <w:rFonts w:ascii="Times New Roman" w:hAnsi="Times New Roman" w:eastAsia="宋体" w:cs="Times New Roman"/>
    </w:rPr>
  </w:style>
  <w:style w:type="paragraph" w:styleId="BodyText3">
    <w:name w:val="Body Text 3"/>
    <w:basedOn w:val="Normal"/>
    <w:link w:val="BodyText3Char"/>
    <w:uiPriority w:val="99"/>
    <w:unhideWhenUsed/>
    <w:rsid w:val="00AA1D8D"/>
    <w:pPr>
      <w:spacing w:after="120"/>
    </w:pPr>
    <w:rPr>
      <w:rFonts w:ascii="Times New Roman" w:hAnsi="Times New Roman" w:eastAsia="宋体" w:cs="Times New Roman"/>
      <w:sz w:val="16"/>
      <w:szCs w:val="16"/>
    </w:rPr>
  </w:style>
  <w:style w:type="character" w:customStyle="1" w:styleId="BodyText3Char">
    <w:name w:val="Body Text 3 Char"/>
    <w:basedOn w:val="DefaultParagraphFont"/>
    <w:link w:val="BodyText3"/>
    <w:uiPriority w:val="99"/>
    <w:rsid w:val="00AA1D8D"/>
    <w:rPr>
      <w:rFonts w:ascii="Times New Roman" w:hAnsi="Times New Roman" w:eastAsia="宋体" w:cs="Times New Roman"/>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宋体"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宋体"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宋体"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宋体"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宋体"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宋体"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宋体"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宋体"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宋体"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宋体"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宋体"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宋体"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宋体"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宋体" w:cs="Times New Roman"/>
      <w:sz w:val="20"/>
      <w:szCs w:val="20"/>
    </w:rPr>
  </w:style>
  <w:style w:type="paragraph" w:styleId="Quote">
    <w:name w:val="Quote"/>
    <w:basedOn w:val="Normal"/>
    <w:next w:val="Normal"/>
    <w:link w:val="QuoteChar"/>
    <w:uiPriority w:val="29"/>
    <w:qFormat/>
    <w:rsid w:val="00FC693F"/>
    <w:rPr>
      <w:rFonts w:ascii="Times New Roman" w:hAnsi="Times New Roman" w:eastAsia="宋体" w:cs="Times New Roman"/>
      <w:i/>
      <w:iCs/>
      <w:color w:val="000000" w:themeColor="text1"/>
    </w:rPr>
  </w:style>
  <w:style w:type="character" w:customStyle="1" w:styleId="QuoteChar">
    <w:name w:val="Quote Char"/>
    <w:basedOn w:val="DefaultParagraphFont"/>
    <w:link w:val="Quote"/>
    <w:uiPriority w:val="29"/>
    <w:rsid w:val="00FC693F"/>
    <w:rPr>
      <w:rFonts w:ascii="Times New Roman" w:hAnsi="Times New Roman" w:eastAsia="宋体" w:cs="Times New Roman"/>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宋体"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宋体"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宋体"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宋体"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宋体"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宋体"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宋体" w:cs="Times New Roman"/>
      <w:b/>
      <w:bCs/>
      <w:color w:val="4F81BD" w:themeColor="accent1"/>
      <w:sz w:val="18"/>
      <w:szCs w:val="18"/>
    </w:rPr>
  </w:style>
  <w:style w:type="character" w:styleId="Strong">
    <w:name w:val="Strong"/>
    <w:basedOn w:val="DefaultParagraphFont"/>
    <w:uiPriority w:val="22"/>
    <w:qFormat/>
    <w:rsid w:val="00FC693F"/>
    <w:rPr>
      <w:rFonts w:ascii="Times New Roman" w:hAnsi="Times New Roman" w:eastAsia="宋体" w:cs="Times New Roman"/>
      <w:b/>
      <w:bCs/>
    </w:rPr>
  </w:style>
  <w:style w:type="character" w:styleId="Emphasis">
    <w:name w:val="Emphasis"/>
    <w:basedOn w:val="DefaultParagraphFont"/>
    <w:uiPriority w:val="20"/>
    <w:qFormat/>
    <w:rsid w:val="00FC693F"/>
    <w:rPr>
      <w:rFonts w:ascii="Times New Roman" w:hAnsi="Times New Roman" w:eastAsia="宋体" w:cs="Times New Roman"/>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宋体" w:cs="Times New Roman"/>
      <w:b/>
      <w:bCs/>
      <w:i/>
      <w:iCs/>
      <w:color w:val="4F81BD" w:themeColor="accent1"/>
    </w:rPr>
  </w:style>
  <w:style w:type="character" w:customStyle="1" w:styleId="IntenseQuoteChar">
    <w:name w:val="Intense Quote Char"/>
    <w:basedOn w:val="DefaultParagraphFont"/>
    <w:link w:val="IntenseQuote"/>
    <w:uiPriority w:val="30"/>
    <w:rsid w:val="00FC693F"/>
    <w:rPr>
      <w:rFonts w:ascii="Times New Roman" w:hAnsi="Times New Roman" w:eastAsia="宋体" w:cs="Times New Roman"/>
      <w:b/>
      <w:bCs/>
      <w:i/>
      <w:iCs/>
      <w:color w:val="4F81BD" w:themeColor="accent1"/>
    </w:rPr>
  </w:style>
  <w:style w:type="character" w:styleId="SubtleEmphasis">
    <w:name w:val="Subtle Emphasis"/>
    <w:basedOn w:val="DefaultParagraphFont"/>
    <w:uiPriority w:val="19"/>
    <w:qFormat/>
    <w:rsid w:val="00FC693F"/>
    <w:rPr>
      <w:rFonts w:ascii="Times New Roman" w:hAnsi="Times New Roman" w:eastAsia="宋体" w:cs="Times New Roman"/>
      <w:i/>
      <w:iCs/>
      <w:color w:val="808080" w:themeColor="text1" w:themeTint="7F"/>
    </w:rPr>
  </w:style>
  <w:style w:type="character" w:styleId="IntenseEmphasis">
    <w:name w:val="Intense Emphasis"/>
    <w:basedOn w:val="DefaultParagraphFont"/>
    <w:uiPriority w:val="21"/>
    <w:qFormat/>
    <w:rsid w:val="00FC693F"/>
    <w:rPr>
      <w:rFonts w:ascii="Times New Roman" w:hAnsi="Times New Roman" w:eastAsia="宋体" w:cs="Times New Roman"/>
      <w:b/>
      <w:bCs/>
      <w:i/>
      <w:iCs/>
      <w:color w:val="4F81BD" w:themeColor="accent1"/>
    </w:rPr>
  </w:style>
  <w:style w:type="character" w:styleId="SubtleReference">
    <w:name w:val="Subtle Reference"/>
    <w:basedOn w:val="DefaultParagraphFont"/>
    <w:uiPriority w:val="31"/>
    <w:qFormat/>
    <w:rsid w:val="00FC693F"/>
    <w:rPr>
      <w:rFonts w:ascii="Times New Roman" w:hAnsi="Times New Roman" w:eastAsia="宋体" w:cs="Times New Roman"/>
      <w:smallCaps/>
      <w:color w:val="C0504D" w:themeColor="accent2"/>
      <w:u w:val="single"/>
    </w:rPr>
  </w:style>
  <w:style w:type="character" w:styleId="IntenseReference">
    <w:name w:val="Intense Reference"/>
    <w:basedOn w:val="DefaultParagraphFont"/>
    <w:uiPriority w:val="32"/>
    <w:qFormat/>
    <w:rsid w:val="00FC693F"/>
    <w:rPr>
      <w:rFonts w:ascii="Times New Roman" w:hAnsi="Times New Roman" w:eastAsia="宋体" w:cs="Times New Roman"/>
      <w:b/>
      <w:bCs/>
      <w:smallCaps/>
      <w:color w:val="C0504D" w:themeColor="accent2"/>
      <w:spacing w:val="5"/>
      <w:u w:val="single"/>
    </w:rPr>
  </w:style>
  <w:style w:type="character" w:styleId="BookTitle">
    <w:name w:val="Book Title"/>
    <w:basedOn w:val="DefaultParagraphFont"/>
    <w:uiPriority w:val="33"/>
    <w:qFormat/>
    <w:rsid w:val="00FC693F"/>
    <w:rPr>
      <w:rFonts w:ascii="Times New Roman" w:hAnsi="Times New Roman" w:eastAsia="宋体" w:cs="Times New Roman"/>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宋体"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rPr>
      <w:rFonts w:ascii="Times New Roman" w:hAnsi="Times New Roman" w:eastAsia="宋体" w:cs="Times New Roman"/>
    </w:rPr>
  </w:style>
  <w:style w:type="table" w:styleId="LightShading">
    <w:name w:val="Light Shading"/>
    <w:basedOn w:val="TableNormal"/>
    <w:uiPriority w:val="60"/>
    <w:rsid w:val="00FC693F"/>
    <w:pPr>
      <w:spacing w:after="0" w:line="240" w:lineRule="auto"/>
    </w:pPr>
    <w:rPr>
      <w:rFonts w:ascii="Times New Roman" w:hAnsi="Times New Roman" w:eastAsia="宋体" w:cs="Times New Roman"/>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hAnsi="Times New Roman" w:eastAsia="宋体" w:cs="Times New Roman"/>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hAnsi="Times New Roman" w:eastAsia="宋体" w:cs="Times New Roman"/>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hAnsi="Times New Roman" w:eastAsia="宋体" w:cs="Times New Roman"/>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hAnsi="Times New Roman" w:eastAsia="宋体" w:cs="Times New Roman"/>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hAnsi="Times New Roman" w:eastAsia="宋体" w:cs="Times New Roman"/>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hAnsi="Times New Roman" w:eastAsia="宋体" w:cs="Times New Roman"/>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rPr>
      <w:rFonts w:ascii="Times New Roman" w:hAnsi="Times New Roman" w:eastAsia="宋体" w:cs="Times New Roman"/>
    </w:r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rPr>
      <w:rFonts w:ascii="Times New Roman" w:hAnsi="Times New Roman" w:eastAsia="宋体" w:cs="Times New Roman"/>
    </w:r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rPr>
      <w:rFonts w:ascii="Times New Roman" w:hAnsi="Times New Roman" w:eastAsia="宋体" w:cs="Times New Roman"/>
    </w:r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rPr>
      <w:rFonts w:ascii="Times New Roman" w:hAnsi="Times New Roman" w:eastAsia="宋体" w:cs="Times New Roman"/>
    </w:r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rPr>
      <w:rFonts w:ascii="Times New Roman" w:hAnsi="Times New Roman" w:eastAsia="宋体" w:cs="Times New Roman"/>
    </w:r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rPr>
      <w:rFonts w:ascii="Times New Roman" w:hAnsi="Times New Roman" w:eastAsia="宋体" w:cs="Times New Roman"/>
    </w:r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rPr>
      <w:rFonts w:ascii="Times New Roman" w:hAnsi="Times New Roman" w:eastAsia="宋体" w:cs="Times New Roman"/>
    </w:r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rPr>
      <w:rFonts w:ascii="Times New Roman" w:hAnsi="Times New Roman" w:eastAsia="宋体" w:cs="Times New Roman"/>
    </w:r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rPr>
      <w:rFonts w:ascii="Times New Roman" w:hAnsi="Times New Roman" w:eastAsia="宋体" w:cs="Times New Roman"/>
    </w:r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rPr>
      <w:rFonts w:ascii="Times New Roman" w:hAnsi="Times New Roman" w:eastAsia="宋体" w:cs="Times New Roman"/>
    </w:r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rPr>
      <w:rFonts w:ascii="Times New Roman" w:hAnsi="Times New Roman" w:eastAsia="宋体" w:cs="Times New Roman"/>
    </w:r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rPr>
      <w:rFonts w:ascii="Times New Roman" w:hAnsi="Times New Roman" w:eastAsia="宋体" w:cs="Times New Roman"/>
    </w:r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rPr>
      <w:rFonts w:ascii="Times New Roman" w:hAnsi="Times New Roman" w:eastAsia="宋体" w:cs="Times New Roman"/>
    </w:r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rPr>
      <w:rFonts w:ascii="Times New Roman" w:hAnsi="Times New Roman" w:eastAsia="宋体" w:cs="Times New Roman"/>
    </w:r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rPr>
      <w:rFonts w:ascii="Times New Roman" w:hAnsi="Times New Roman" w:eastAsia="宋体" w:cs="Times New Roman"/>
    </w:r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rPr>
      <w:rFonts w:ascii="Times New Roman" w:hAnsi="Times New Roman" w:eastAsia="宋体" w:cs="Times New Roman"/>
    </w:rPr>
  </w:style>
  <w:style w:type="table" w:styleId="MediumList1">
    <w:name w:val="Medium Lis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rPr>
      <w:rFonts w:ascii="Times New Roman" w:hAnsi="Times New Roman" w:eastAsia="宋体" w:cs="Times New Roman"/>
    </w:r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rPr>
      <w:rFonts w:ascii="Times New Roman" w:hAnsi="Times New Roman" w:eastAsia="宋体" w:cs="Times New Roman"/>
    </w:r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rPr>
      <w:rFonts w:ascii="Times New Roman" w:hAnsi="Times New Roman" w:eastAsia="宋体" w:cs="Times New Roman"/>
    </w:r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rPr>
      <w:rFonts w:ascii="Times New Roman" w:hAnsi="Times New Roman" w:eastAsia="宋体" w:cs="Times New Roman"/>
    </w:r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rPr>
      <w:rFonts w:ascii="Times New Roman" w:hAnsi="Times New Roman" w:eastAsia="宋体" w:cs="Times New Roman"/>
    </w:r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rPr>
      <w:rFonts w:ascii="Times New Roman" w:hAnsi="Times New Roman" w:eastAsia="宋体" w:cs="Times New Roman"/>
    </w:r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rPr>
      <w:rFonts w:ascii="Times New Roman" w:hAnsi="Times New Roman" w:eastAsia="宋体" w:cs="Times New Roman"/>
    </w:rPr>
  </w:style>
  <w:style w:type="table" w:styleId="MediumGrid2">
    <w:name w:val="Medium Grid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rPr>
      <w:rFonts w:ascii="Times New Roman" w:hAnsi="Times New Roman" w:eastAsia="宋体" w:cs="Times New Roman"/>
    </w:r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rPr>
      <w:rFonts w:ascii="Times New Roman" w:hAnsi="Times New Roman" w:eastAsia="宋体" w:cs="Times New Roman"/>
    </w:r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rPr>
      <w:rFonts w:ascii="Times New Roman" w:hAnsi="Times New Roman" w:eastAsia="宋体" w:cs="Times New Roman"/>
    </w:r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rPr>
      <w:rFonts w:ascii="Times New Roman" w:hAnsi="Times New Roman" w:eastAsia="宋体" w:cs="Times New Roman"/>
    </w:r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rPr>
      <w:rFonts w:ascii="Times New Roman" w:hAnsi="Times New Roman" w:eastAsia="宋体" w:cs="Times New Roman"/>
    </w:r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rPr>
      <w:rFonts w:ascii="Times New Roman" w:hAnsi="Times New Roman" w:eastAsia="宋体" w:cs="Times New Roman"/>
    </w:r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rPr>
      <w:rFonts w:ascii="Times New Roman" w:hAnsi="Times New Roman" w:eastAsia="宋体" w:cs="Times New Roman"/>
    </w:rPr>
  </w:style>
  <w:style w:type="table" w:styleId="DarkList">
    <w:name w:val="Dark List"/>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hAnsi="Times New Roman" w:eastAsia="宋体" w:cs="Times New Roman"/>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hAnsi="Times New Roman" w:eastAsia="宋体" w:cs="Times New Roman"/>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zfxxgk.ndrc.gov.cn/web/iteminfo.jsp?id=20523" TargetMode="External"/><Relationship Id="rId12" Type="http://schemas.openxmlformats.org/officeDocument/2006/relationships/hyperlink" Target="https://doi.org/10.11930/j.issn.1004-9649.202410059" TargetMode="External"/><Relationship Id="rId13" Type="http://schemas.openxmlformats.org/officeDocument/2006/relationships/hyperlink" Target="https://iea-pvps.org/wp-content/uploads/2022/11/IEA-PVPS-Report-T13-25-2022-OandM-Guidelines.pdf" TargetMode="External"/><Relationship Id="rId14" Type="http://schemas.openxmlformats.org/officeDocument/2006/relationships/hyperlink" Target="https://openstd.samr.gov.cn/bzgk/std/newGbInfo?hcno=40D8691DFD7EC3CBA423CCBA65D262F3" TargetMode="External"/><Relationship Id="rId15" Type="http://schemas.openxmlformats.org/officeDocument/2006/relationships/hyperlink" Target="https://openstd.samr.gov.cn/bzgk/std/newGbInfo?hcno=A86838E2F9FF5DCE3975125156E89D52" TargetMode="External"/><Relationship Id="rId16" Type="http://schemas.openxmlformats.org/officeDocument/2006/relationships/hyperlink" Target="https://std.samr.gov.cn/hb/search/stdHBDetailed?id=461E291C9283AB7EE06397BE0A0A7DFF" TargetMode="External"/><Relationship Id="rId17" Type="http://schemas.openxmlformats.org/officeDocument/2006/relationships/hyperlink" Target="https://doi.org/10.1016/j.renene.2025.122821" TargetMode="External"/><Relationship Id="rId18" Type="http://schemas.openxmlformats.org/officeDocument/2006/relationships/hyperlink" Target="https://doi.org/10.3969/j.issn.1674-3814.2024.01.002" TargetMode="External"/><Relationship Id="rId19" Type="http://schemas.openxmlformats.org/officeDocument/2006/relationships/hyperlink" Target="https://doi.org/10.19585/j.zjdl.202003009" TargetMode="External"/><Relationship Id="rId20" Type="http://schemas.openxmlformats.org/officeDocument/2006/relationships/hyperlink" Target="https://doi.org/10.19595/j.cnki.1000-6753.tces.180326" TargetMode="External"/><Relationship Id="rId21" Type="http://schemas.openxmlformats.org/officeDocument/2006/relationships/hyperlink" Target="https://doi.org/10.13336/j.1003-6520.hve.20220974" TargetMode="External"/><Relationship Id="rId22" Type="http://schemas.openxmlformats.org/officeDocument/2006/relationships/hyperlink" Target="https://doi.org/10.19585/j.zjdl.202603011" TargetMode="External"/><Relationship Id="rId23" Type="http://schemas.openxmlformats.org/officeDocument/2006/relationships/hyperlink" Target="https://doi.org/10.1038/s41467-026-73817-3" TargetMode="External"/><Relationship Id="rId24" Type="http://schemas.openxmlformats.org/officeDocument/2006/relationships/hyperlink" Target="https://doi.org/10.1016/j.apenergy.2023.120989" TargetMode="External"/><Relationship Id="rId25" Type="http://schemas.openxmlformats.org/officeDocument/2006/relationships/hyperlink" Target="https://doi.org/10.1016/j.solener.2020.04.019" TargetMode="External"/><Relationship Id="rId26" Type="http://schemas.openxmlformats.org/officeDocument/2006/relationships/hyperlink" Target="https://doi.org/10.1016/j.apenergy.2022.119603" TargetMode="External"/><Relationship Id="rId27" Type="http://schemas.openxmlformats.org/officeDocument/2006/relationships/hyperlink" Target="https://doi.org/10.1016/j.apenergy.2021.118473" TargetMode="External"/><Relationship Id="rId28" Type="http://schemas.openxmlformats.org/officeDocument/2006/relationships/hyperlink" Target="https://doi.org/10.1016/j.solcom.2026.100182" TargetMode="External"/><Relationship Id="rId29" Type="http://schemas.openxmlformats.org/officeDocument/2006/relationships/hyperlink" Target="https://www.ces.org.cn/res/ces/pdfreader/TCES_139-2022_%E3%80%8A%E5%85%89%E4%BC%8F%E5%8F%91%E7%94%B5%E5%8A%9F%E7%8E%87%E6%A6%82%E7%8E%87%E9%A2%84%E6%B5%8B%E6%8A%80%E6%9C%AF%E8%A6%81%E6%B1%82%E3%80%8Ba.pdf" TargetMode="External"/><Relationship Id="rId30" Type="http://schemas.openxmlformats.org/officeDocument/2006/relationships/hyperlink" Target="https://doi.org/10.19585/j.zjdl.202408010" TargetMode="External"/><Relationship Id="rId31" Type="http://schemas.openxmlformats.org/officeDocument/2006/relationships/hyperlink" Target="https://doi.org/10.13705/j.issn.1671-6841.2024155" TargetMode="External"/><Relationship Id="rId32" Type="http://schemas.openxmlformats.org/officeDocument/2006/relationships/hyperlink" Target="https://doi.org/10.1016/j.renene.2024.121574" TargetMode="External"/><Relationship Id="rId33" Type="http://schemas.openxmlformats.org/officeDocument/2006/relationships/hyperlink" Target="https://doi.org/10.1002/solr.202400468" TargetMode="External"/><Relationship Id="rId34" Type="http://schemas.openxmlformats.org/officeDocument/2006/relationships/hyperlink" Target="https://doi.org/10.1016/j.rser.2023.113915" TargetMode="External"/><Relationship Id="rId35" Type="http://schemas.openxmlformats.org/officeDocument/2006/relationships/hyperlink" Target="https://doi.org/10.1016/j.solener.2025.114197" TargetMode="External"/><Relationship Id="rId36" Type="http://schemas.openxmlformats.org/officeDocument/2006/relationships/hyperlink" Target="https://proceedings.nips.cc/paper/2017/hash/6449f44a102fde848669bdd9eb6b76fa-Abstract.html" TargetMode="External"/><Relationship Id="rId37" Type="http://schemas.openxmlformats.org/officeDocument/2006/relationships/hyperlink" Target="https://doi.org/10.1145/2939672.2939785" TargetMode="External"/><Relationship Id="rId38" Type="http://schemas.openxmlformats.org/officeDocument/2006/relationships/hyperlink" Target="https://doi.org/10.21105/joss.008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园区光伏功率预测需求、研究现状与待研究问题</dc:title>
  <dc:subject>中英文文献与标准综述（修订版）</dc:subject>
  <dc:creator/>
  <cp:keywords/>
  <dc:description>2026-10-13修订；来源核验边界见修改说明。</dc:description>
  <cp:lastModifiedBy/>
  <cp:revision>1</cp:revision>
  <dcterms:created xsi:type="dcterms:W3CDTF">2013-12-23T23:15:00Z</dcterms:created>
  <dcterms:modified xsi:type="dcterms:W3CDTF">2013-12-23T23:15:00Z</dcterms:modified>
  <cp:category/>
</cp:coreProperties>
</file>