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color w:val="2c5aa0"/>
          <w:sz w:val="48"/>
          <w:szCs w:val="48"/>
          <w:rFonts w:ascii="Calibri" w:cs="Calibri" w:eastAsia="Calibri" w:hAnsi="Calibri"/>
        </w:rPr>
        <w:t xml:space="preserve">CV Applicant</w:t>
      </w: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  <w:jc w:val="both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Areas of expertise: Inclusive governance, with expertise in rule of law, access to justice and human rights. Experienced in programme/outcome/impact evaluations; programme development; quantitative and qualitative analysis; M&amp;E including evaluation of triple NEXUS approaches; RBM; political economy analysis and theory of change; institutional building and capacity development; international human rights framework and standards; gender equality and women's empowerment; human rights based approach and "leave no-one behind"; Over 20 years of professional experience in the provision of policy, technical and analytical advisory services to international multi- and bi-lateral organisations; Country experience: Experience in conflict, post-conflict and fragile/transitioning states including Afghanistan, Albania, Azerbaijan, Bangladesh, Bosnia &amp; Herzegovina, Bhutan, Cambodia, Cameroon, Croatia, Fiji, Kosovo, Kyrgyzstan, India, Indonesia, Jamaica, Malaysia, Moldova, Mongolia, Montenegro, Myanmar, Nepal, North Macedonia, Serbia, Solomon Islands, Sri Lanka, South Sudan, Tajikistan, Thailand, Tonga, Ukraine, Uzbekistan, Vietnam &amp; Yemen.Post-Graduate Diploma in Professional Legal Skills (Inns of Court School of Law, London 1999), Post Graduate Diploma in Law (College of Law, London 1998), BA (Hons) History 2:1 (University of London 1997).Personal attributes: excellent analytical and drafting skills, broad publications record, time management and organizational skills, culturally sensitive, team player equally capable of working independently, attention to detail, conscientious, strong inter-personal skills.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Not specified</w:t>
            </w:r>
          </w:p>
          <w:p>
            <w:pPr>
              <w:spacing w:after="120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 qualifications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Afghanistan, Albania, Azerbaijan, Bangladesh, Bosnia &amp; Herzegovina, Bhutan, Cambodia, Cameroon, Croatia, Fiji, Kosovo, Kyrgyzstan, India, Indonesia, Jamaica, Malaysia, Moldova, Mongolia, Montenegro, Myanmar, Nepal, North Macedonia, Serbia, Solomon Islands, Sri Lanka, South Sudan, Tajikistan, Thailand, Tonga, Ukraine, Uzbekistan, Vietnam, Yemen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color w:val="000000"/>
                <w:sz w:val="32"/>
                <w:szCs w:val="32"/>
                <w:rFonts w:ascii="Calibri" w:cs="Calibri" w:eastAsia="Calibri" w:hAnsi="Calibri"/>
              </w:rPr>
              <w:t xml:space="preserve">Jan – Aug 2024, </w:t>
            </w:r>
            <w:r>
              <w:rPr>
                <w:b/>
                <w:bCs/>
                <w:color w:val="000000"/>
                <w:sz w:val="32"/>
                <w:szCs w:val="32"/>
                <w:rFonts w:ascii="Calibri" w:cs="Calibri" w:eastAsia="Calibri" w:hAnsi="Calibri"/>
              </w:rPr>
              <w:t xml:space="preserve">Team Leader – Mid-Term Evaluation | </w:t>
            </w:r>
            <w:r>
              <w:rPr>
                <w:b/>
                <w:bCs/>
                <w:i/>
                <w:iCs/>
                <w:color w:val="000000"/>
                <w:sz w:val="32"/>
                <w:szCs w:val="32"/>
                <w:rFonts w:ascii="Calibri" w:cs="Calibri" w:eastAsia="Calibri" w:hAnsi="Calibri"/>
              </w:rPr>
              <w:t xml:space="preserve">UNDP Global Programme on Rule of Law, Security &amp; Human Rights | </w:t>
            </w: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Cameroon, Jamaica and South Sudan</w:t>
            </w:r>
          </w:p>
          <w:p>
            <w:pPr>
              <w:spacing w:after="80"/>
              <w:jc w:val="both"/>
            </w:pPr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to conduct a MTE including country case studies for Cameroon, Jamaica and South Sudan and a gender review of the small arms light weapons and armed violence reduction global project.</w:t>
            </w:r>
          </w:p>
          <w:p>
            <w:pPr>
              <w:spacing w:after="240"/>
            </w:pP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color w:val="000000"/>
                <w:sz w:val="32"/>
                <w:szCs w:val="32"/>
                <w:rFonts w:ascii="Calibri" w:cs="Calibri" w:eastAsia="Calibri" w:hAnsi="Calibri"/>
              </w:rPr>
              <w:t xml:space="preserve">No publications found</w:t>
            </w:r>
          </w:p>
        </w:tc>
      </w:tr>
    </w:tbl>
    <w:sectPr>
      <w:footerReference w:type="default" r:id="rId6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CURRENTTOTAL_PAGES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32"/>
      <w:szCs w:val="3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2025-05-30T13:27:09.480Z</dcterms:created>
  <dcterms:modified xsi:type="dcterms:W3CDTF">2025-05-30T13:27:09.480Z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