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color w:val="2c5aa0"/>
          <w:sz w:val="48"/>
          <w:szCs w:val="48"/>
          <w:rFonts w:ascii="Calibri" w:cs="Calibri" w:eastAsia="Calibri" w:hAnsi="Calibri"/>
        </w:rPr>
        <w:t xml:space="preserve">CV Applicant</w:t>
      </w:r>
    </w:p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Profile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  <w:jc w:val="both"/>
            </w:pP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Areas of expertise: Inclusive governance, with expertise in rule of law, justice, peace-building and human rights. Experienced in programme/outcome/impact evaluations; programme development; quantitative and qualitative analysis; Results Based Management including M&amp;E; political economy analysis and theory of change; institutional building and capacity development; international human rights framework and standards; gender equality and women's empowerment; human rights based approach and "leave no-one behind"; Over 20 years of professional experience in the provision of policy, technical and analytical advisory services to international multi- and bi-lateral organisations; Country experience: Experience in conflict, post-conflict and fragile/transitioning states including Afghanistan, Albania, Azerbaijan, Bangladesh, Bosnia &amp; Herzegovina, Bhutan, Cambodia, Cameroon, Croatia, Fiji, Kosovo[1], Kyrgyzstan, India, Indonesia, Jamaica, Libya, Malaysia, Moldova, Mongolia, Montenegro, Myanmar, Nepal, North Macedonia, Serbia, Solomon Islands, Sri Lanka, South Sudan, Tajikistan, Thailand, Tonga, Ukraine, Uzbekistan, Vietnam &amp; Yemen.Post-Graduate Diploma in Professional Legal Skills (Inns of Court School of Law, London 1999), Post Graduate Diploma in Law (College of Law, London 1998), BA (Hons) History 2:1 (University of London 1997).Personal attributes: excellent analytical and drafting skills, broad publications record, time management and organizational skills, culturally sensitive, team player equally capable of working independently, attention to detail, conscientious, strong inter-personal skills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Nationality &amp; Languages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Not specified</w:t>
            </w:r>
          </w:p>
          <w:p>
            <w:pPr>
              <w:spacing w:after="120"/>
            </w:pP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Not specified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No qualifications found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Afghanistan, Albania, Azerbaijan, Bangladesh, Bosnia &amp; Herzegovina, Bhutan, Cambodia, Cameroon, Croatia, Fiji, Kosovo, Kyrgyzstan, India, Indonesia, Jamaica, Libya, Malaysia, Moldova, Mongolia, Montenegro, Myanmar, Nepal, North Macedonia, Serbia, Solomon Islands, Sri Lanka, South Sudan, Tajikistan, Thailand, Tonga, Ukraine, Uzbekistan, Vietnam, Yemen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color w:val="000000"/>
                <w:sz w:val="32"/>
                <w:szCs w:val="32"/>
                <w:rFonts w:ascii="Calibri" w:cs="Calibri" w:eastAsia="Calibri" w:hAnsi="Calibri"/>
              </w:rPr>
              <w:t xml:space="preserve">Dec 2024 - Dec 2025, </w:t>
            </w:r>
            <w:r>
              <w:rPr>
                <w:b/>
                <w:bCs/>
                <w:color w:val="000000"/>
                <w:sz w:val="32"/>
                <w:szCs w:val="32"/>
                <w:rFonts w:ascii="Calibri" w:cs="Calibri" w:eastAsia="Calibri" w:hAnsi="Calibri"/>
              </w:rPr>
              <w:t xml:space="preserve">Independent Consultant: Inclusive Governance and Rule of Law | </w:t>
            </w:r>
            <w:r>
              <w:rPr>
                <w:b/>
                <w:bCs/>
                <w:i/>
                <w:iCs/>
                <w:color w:val="000000"/>
                <w:sz w:val="32"/>
                <w:szCs w:val="32"/>
                <w:rFonts w:ascii="Calibri" w:cs="Calibri" w:eastAsia="Calibri" w:hAnsi="Calibri"/>
              </w:rPr>
              <w:t xml:space="preserve">UNDP HQ | </w:t>
            </w: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Not specified</w:t>
            </w:r>
          </w:p>
          <w:p>
            <w:pPr>
              <w:spacing w:after="80"/>
              <w:jc w:val="both"/>
            </w:pP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Team Leader – Final Evaluation, UNDP Global Programme on Rule of Law, Justice, Security and Human Rights, UNDP HQ, Dec 2024 – Dec 2025</w:t>
            </w:r>
          </w:p>
          <w:p>
            <w:pPr>
              <w:spacing w:after="240"/>
            </w:pP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Publications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No publications found</w:t>
            </w:r>
          </w:p>
        </w:tc>
      </w:tr>
    </w:tbl>
    <w:sectPr>
      <w:footerReference w:type="default" r:id="rId6"/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CURRENTTOTAL_PAGES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80"/>
      <w:jc w:val="both"/>
    </w:pPr>
    <w:rPr>
      <w:color w:val="000000"/>
      <w:sz w:val="32"/>
      <w:szCs w:val="3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Assistant</dc:creator>
  <cp:lastModifiedBy>Un-named</cp:lastModifiedBy>
  <cp:revision>1</cp:revision>
  <dcterms:created xsi:type="dcterms:W3CDTF">2025-05-30T13:34:45.125Z</dcterms:created>
  <dcterms:modified xsi:type="dcterms:W3CDTF">2025-05-30T13:34:45.125Z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