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Areas of expertise: Inclusive governance, with expertise in rule of law, access to justice and human rights. Experienced in programme/outcome/impact evaluations; programme development; quantitative and qualitative analysis; M&amp;E including evaluation of triple NEXUS approaches; RBM; political economy analysis and theory of change; institutional building and capacity development; international human rights framework and standards; gender equality and women's empowerment; human rights based approach and "leave no-one behind"; Over 20 years of professional experience in the provision of policy, technical and analytical advisory services to international multi- and bi-lateral organisations; Country experience: Experience in conflict, post-conflict and fragile/transitioning states including 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&amp; Yemen.Post-Graduate Diploma in Professional Legal Skills (Inns of Court School of Law, London 1999), Post Graduate Diploma in Law (College of Law, London 1998), BA (Hons) History 2:1 (University of London 1997).Personal attributes: excellent analytical and drafting skills, broad publications record, time management and organizational skills, culturally sensitive, team player equally capable of working independently, attention to detail, conscientious, strong inter-personal skills.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vAlign w:val="top"/>
          </w:tcP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vAlign w:val="top"/>
          </w:tcP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Afghanistan, Albania, Azerbaijan, Bangladesh, Bosnia, Cambodia, Cameroon, Croatia, Fiji, Kosovo, Kyrgyzstan, India, Indonesia, Jamaica, Malaysia, Moldova, Mongolia, Montenegro, Myanmar, Nepal, Macedonia, Serbia, Sri Lanka, South Sudan, Tajikistan, Thailand, Ukraine, Uzbekistan, Vietnam, Yemen, Philippines, Timor</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 Aug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Global Programme on Rule of Law, Security &amp; Human Rights | Location: Cameroon, Jamaica and South Sudan</w:t>
            </w:r>
          </w:p>
          <w:p>
            <w:pPr>
              <w:spacing w:after="120"/>
              <w:jc w:val="both"/>
            </w:pPr>
            <w:r>
              <w:rPr>
                <w:b w:val="false"/>
                <w:bCs w:val="false"/>
                <w:color w:val="000000"/>
                <w:sz w:val="22"/>
                <w:szCs w:val="22"/>
                <w:rFonts w:ascii="Calibri" w:cs="Calibri" w:eastAsia="Calibri" w:hAnsi="Calibri"/>
              </w:rPr>
              <w:t xml:space="preserve">to conduct a MTE including country case studies for Cameroon, Jamaica and South Sudan and a gender review of the small arms light weapons and armed violence reduction global project.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for IEO Thematic Evaluation on UNDP support to Access to Justice</w:t>
            </w:r>
          </w:p>
          <w:p>
            <w:pPr>
              <w:spacing w:after="120"/>
            </w:pPr>
            <w:r>
              <w:rPr>
                <w:b/>
                <w:bCs/>
                <w:color w:val="000000"/>
                <w:sz w:val="22"/>
                <w:szCs w:val="22"/>
                <w:rFonts w:ascii="Calibri" w:cs="Calibri" w:eastAsia="Calibri" w:hAnsi="Calibri"/>
              </w:rPr>
              <w:t xml:space="preserve">Client: UNDP Independent Evaluation Office | Location: Not specified</w:t>
            </w:r>
          </w:p>
          <w:p>
            <w:pPr>
              <w:spacing w:after="120"/>
              <w:jc w:val="both"/>
            </w:pPr>
            <w:r>
              <w:rPr>
                <w:b w:val="false"/>
                <w:bCs w:val="false"/>
                <w:color w:val="000000"/>
                <w:sz w:val="22"/>
                <w:szCs w:val="22"/>
                <w:rFonts w:ascii="Calibri" w:cs="Calibri" w:eastAsia="Calibri" w:hAnsi="Calibri"/>
              </w:rPr>
              <w:t xml:space="preserve">Conducting an evaluation of UNDP's global work on access to justice from 2014 – 2021, with a focus on Myanmar, including evaluating the gender responsiveness of the A2J programmes using gender marker analysis and the IEO Gender Results Effectiveness Scale. Findings included insufficient attention to the role of social norms and women's economic empowerment as drivers of choices.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2000 - February 2001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Researcher</w:t>
            </w:r>
          </w:p>
          <w:p>
            <w:pPr>
              <w:spacing w:after="120"/>
            </w:pPr>
            <w:r>
              <w:rPr>
                <w:b/>
                <w:bCs/>
                <w:color w:val="000000"/>
                <w:sz w:val="22"/>
                <w:szCs w:val="22"/>
                <w:rFonts w:ascii="Calibri" w:cs="Calibri" w:eastAsia="Calibri" w:hAnsi="Calibri"/>
              </w:rPr>
              <w:t xml:space="preserve">Client: Cripps Sears &amp; Partners | Location: London</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dc:title>
  <dc:creator>IOD PARC CV Generator</dc:creator>
  <cp:lastModifiedBy>Un-named</cp:lastModifiedBy>
  <cp:revision>1</cp:revision>
  <dcterms:created xsi:type="dcterms:W3CDTF">2025-05-30T18:49:05.479Z</dcterms:created>
  <dcterms:modified xsi:type="dcterms:W3CDTF">2025-05-30T18:49:05.479Z</dcterms:modified>
</cp:coreProperties>
</file>

<file path=docProps/custom.xml><?xml version="1.0" encoding="utf-8"?>
<Properties xmlns="http://schemas.openxmlformats.org/officeDocument/2006/custom-properties" xmlns:vt="http://schemas.openxmlformats.org/officeDocument/2006/docPropsVTypes"/>
</file>