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1500"/>
        <w:gridCol w:w="2500"/>
        <w:gridCol w:w="1500"/>
        <w:gridCol w:w="2500"/>
      </w:tblGrid>
      <w:tr>
        <w:tc>
          <w:tcPr>
            <w:tcW w:type="pct" w:w="20%"/>
            <w:tcBorders>
              <w:top w:val="none"/>
              <w:left w:val="none"/>
              <w:bottom w:val="none"/>
              <w:right w:val="none"/>
            </w:tcBorders>
          </w:tcP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400"/>
              <w:jc w:val="left"/>
            </w:pPr>
            <w:r>
              <w:rPr>
                <w:b w:val="false"/>
                <w:bCs w:val="false"/>
                <w:color w:val="000000"/>
                <w:sz w:val="48"/>
                <w:szCs w:val="48"/>
                <w:rFonts w:ascii="Calibri" w:cs="Calibri" w:eastAsia="Calibri" w:hAnsi="Calibri"/>
              </w:rPr>
              <w:t xml:space="preserve">Gulden</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Profile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Currently based in Pretoria, Gulden is a development economist with twelve years of experience in economic appraisals (including cost benefit analyses), value for money (VfM) analyses and VfM framework design. She has worked for government departments and major development partners including FCDO, the World Bank, European Union and USAID, however primarily for FCDO in the last 7-8 years.
Gulden has considerable experience of conducting economic appraisals and VfM  assessments as part of Business Cases, evaluations and reviews, particularly using FCDO formats. She has been a VfM Advisor for Land Investment for Transformation (LIFT) Ethiopia and Powering Economic Growth in Northern Nigeria (LINKS) in Nigeria, both large-scale FCDO economic development programmes. During 2018-2019, Gulden was a VfM Advisor for the £560m Humanitarian portfolio of FCDO South Sudan, assisting the implementing partners with setting up VfM frameworks and conducting VfM assessments. She is currently a VfM Advisor also for FCDO's £90m climate adaptation and resilience programme (BRACC) in Malawi. She has also provided quality assurance of economic appraisals, most often for UKAid service frameworks (for example, for Prosperity Fund Business Cases in Brazil). She is currently working on a VfM assessment of research hubs of FCDO, as well as on an evaluation of a large scale climate change and resilience programme.
Gulden has an excellent grasp on conducting quantified economic analyses (CBA, break even analysis, unit costs analysis, etc): examples are a Cost Benefit Analysis on the water and sanitation interventions of Norwegian NGOs operating in Somalia; a CBA for the Bangladesh Education Development Programme (value over $1bn), for DFID Bangladesh; and a break-even analysis on urban job creation for DFID Tanzania.
Gulden carries out trainings on VfM for FCDO partners: examples are a one day workshop to 14 implementing partners (UN/ INGOs) in Juba for DFID South Sudan; a training to UNDP Bangladesh staff on VfM tools and applications; a 3-day training on VfM and costs apportioning methods to 10 NGOs involved in the Enhancing Community Resilience Programme of DFID Malawi.
She also has drafted guidance for DFID in a number of VfM areas: a Value for Money Common Approach Paper for state-level programmes (SLPs) that are funded by DFID Nigeria, a Learning Note on Measuring VfM in DFID's Business Environment Reform Programmes (though BERF), and more recently a VFM Approach Concept Note for CSSF West Africa.</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Nationality</w:t>
            </w:r>
          </w:p>
        </w:tc>
        <w:tc>
          <w:tcPr>
            <w:tcW w:type="pct" w:w="30%"/>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Not specified</w:t>
            </w:r>
          </w:p>
        </w:tc>
        <w:tc>
          <w:tcPr>
            <w:tcW w:type="pct" w:w="1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Languages</w:t>
            </w:r>
          </w:p>
        </w:tc>
        <w:tc>
          <w:tcPr>
            <w:tcW w:type="pct" w:w="3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English (Fluent), Turkish (Native), Gulden (Not specified), value (Not specified), the (Not specified), European (Not specified), however (Not specified), evaluations (Not specified), particularly (Not specified), both (Not specified), assisting (Not specified), most (Not specified), for (Not specified), as (Fluent), break (Not specified), unit (Not specified), Norwegian (Not specified), a (Not specified), and (Not specified), Emerging (Not specified), London (Not specified), UKMarch (Not specified), FIRST (Not specified), LondonJanuaryApril (Not specified), World (Not specified), Ministry (Not specified), MalawiImpact (Not specified), FINCA (Not specified), providing (Not specified), conducting (Not specified), DFID (Not specified), outlining (Not specified), Evaluation (Not specified), mainly (Not specified), reporting (Native), which (Not specified), developed (Not specified)</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Country work experience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Turkey, Nigeria, Kenya, Somalia, Tanzania, Uganda, Ghana, Malawi, Rwanda, Ethiopia, South Africa, Sudan, South Sudan, Zimbabwe, Bangladesh, Nepal, Azerbaijan, Moldova, Mexico</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Experience: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June 2021-January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VfM Advisor</w:t>
            </w:r>
          </w:p>
          <w:p>
            <w:pPr>
              <w:spacing w:after="120"/>
            </w:pPr>
            <w:r>
              <w:rPr>
                <w:b/>
                <w:bCs/>
                <w:color w:val="000000"/>
                <w:sz w:val="22"/>
                <w:szCs w:val="22"/>
                <w:rFonts w:ascii="Calibri" w:cs="Calibri" w:eastAsia="Calibri" w:hAnsi="Calibri"/>
              </w:rPr>
              <w:t xml:space="preserve">Client: BRACC Malawi | Location: Malawi</w:t>
            </w:r>
          </w:p>
          <w:p>
            <w:pPr>
              <w:spacing w:after="120"/>
              <w:jc w:val="both"/>
            </w:pPr>
            <w:r>
              <w:rPr>
                <w:b w:val="false"/>
                <w:bCs w:val="false"/>
                <w:color w:val="000000"/>
                <w:sz w:val="22"/>
                <w:szCs w:val="22"/>
                <w:rFonts w:ascii="Calibri" w:cs="Calibri" w:eastAsia="Calibri" w:hAnsi="Calibri"/>
              </w:rPr>
              <w:t xml:space="preserve">Gulden is currently working on the evaluation of £90m resilience and climate adaptation programme (FCDO funded) in Malawi, providing VfM inputs, conducting key informant interviews and drafting topic guides for EQUALS processes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 2015-April 2016</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 VFM Advisor</w:t>
            </w:r>
          </w:p>
          <w:p>
            <w:pPr>
              <w:spacing w:after="120"/>
            </w:pPr>
            <w:r>
              <w:rPr>
                <w:b/>
                <w:bCs/>
                <w:color w:val="000000"/>
                <w:sz w:val="22"/>
                <w:szCs w:val="22"/>
                <w:rFonts w:ascii="Calibri" w:cs="Calibri" w:eastAsia="Calibri" w:hAnsi="Calibri"/>
              </w:rPr>
              <w:t xml:space="preserve">Client: Rural Access Programme (RAP III) | Location: Nepal</w:t>
            </w:r>
          </w:p>
          <w:p>
            <w:pPr>
              <w:spacing w:after="120"/>
              <w:jc w:val="both"/>
            </w:pPr>
            <w:r>
              <w:rPr>
                <w:b w:val="false"/>
                <w:bCs w:val="false"/>
                <w:color w:val="000000"/>
                <w:sz w:val="22"/>
                <w:szCs w:val="22"/>
                <w:rFonts w:ascii="Calibri" w:cs="Calibri" w:eastAsia="Calibri" w:hAnsi="Calibri"/>
              </w:rPr>
              <w:t xml:space="preserve">Carried out a VfM assessment as part of the Monitoring, Evaluation and Learning (MEL) component of this £50m DFID-funded public works programme that builds local road networks in the poorest districts of Nepal using labour -based and participatory approaches. The assessment focused on identifying indicators that can be tracked over the course of the programme, as well as their calculation methods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November 2014-March 2015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 Value for Money Diagnostics</w:t>
            </w:r>
          </w:p>
          <w:p>
            <w:pPr>
              <w:spacing w:after="120"/>
            </w:pPr>
            <w:r>
              <w:rPr>
                <w:b/>
                <w:bCs/>
                <w:color w:val="000000"/>
                <w:sz w:val="22"/>
                <w:szCs w:val="22"/>
                <w:rFonts w:ascii="Calibri" w:cs="Calibri" w:eastAsia="Calibri" w:hAnsi="Calibri"/>
              </w:rPr>
              <w:t xml:space="preserve">Client: DFID | Location: Bangladesh</w:t>
            </w:r>
          </w:p>
          <w:p>
            <w:pPr>
              <w:spacing w:after="120"/>
              <w:jc w:val="both"/>
            </w:pPr>
            <w:r>
              <w:rPr>
                <w:b w:val="false"/>
                <w:bCs w:val="false"/>
                <w:color w:val="000000"/>
                <w:sz w:val="22"/>
                <w:szCs w:val="22"/>
                <w:rFonts w:ascii="Calibri" w:cs="Calibri" w:eastAsia="Calibri" w:hAnsi="Calibri"/>
              </w:rPr>
              <w:t xml:space="preserve">Economist/ VfM Expert for carrying out VfM assessments of 6 projects funded by DFID and implemented by UNDP. Also carried out a training on VfM tools and applications to 85 UNDP members of staff. Included conducting a CBA for the credits and savings groups of one of the large urban infrastructure programmes.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June-Aug 2016</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 VfM Advisor</w:t>
            </w:r>
          </w:p>
          <w:p>
            <w:pPr>
              <w:spacing w:after="120"/>
            </w:pPr>
            <w:r>
              <w:rPr>
                <w:b/>
                <w:bCs/>
                <w:color w:val="000000"/>
                <w:sz w:val="22"/>
                <w:szCs w:val="22"/>
                <w:rFonts w:ascii="Calibri" w:cs="Calibri" w:eastAsia="Calibri" w:hAnsi="Calibri"/>
              </w:rPr>
              <w:t xml:space="preserve">Client: DFID Ethiopia | Location: Ethiopia</w:t>
            </w:r>
          </w:p>
          <w:p>
            <w:pPr>
              <w:spacing w:after="120"/>
              <w:jc w:val="both"/>
            </w:pPr>
            <w:r>
              <w:rPr>
                <w:b w:val="false"/>
                <w:bCs w:val="false"/>
                <w:color w:val="000000"/>
                <w:sz w:val="22"/>
                <w:szCs w:val="22"/>
                <w:rFonts w:ascii="Calibri" w:cs="Calibri" w:eastAsia="Calibri" w:hAnsi="Calibri"/>
              </w:rPr>
              <w:t xml:space="preserve">Gulden was in charge of providing VfM inputs for the final review of DFID support to the Government of Ethiopia's Climate Resilient Green Economy (CRGE) Facility. Due to lack of detailed financial and results information, the assessment focused on economy and cost efficiency analysis, and unit costs analysis to some extent. More than 30 projects under the CRGE were assessed this way.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Aug- October 2016</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w:t>
            </w:r>
          </w:p>
          <w:p>
            <w:pPr>
              <w:spacing w:after="120"/>
            </w:pPr>
            <w:r>
              <w:rPr>
                <w:b/>
                <w:bCs/>
                <w:color w:val="000000"/>
                <w:sz w:val="22"/>
                <w:szCs w:val="22"/>
                <w:rFonts w:ascii="Calibri" w:cs="Calibri" w:eastAsia="Calibri" w:hAnsi="Calibri"/>
              </w:rPr>
              <w:t xml:space="preserve">Client: DFID Tanzania | Location: Dar es Salaam</w:t>
            </w:r>
          </w:p>
          <w:p>
            <w:pPr>
              <w:spacing w:after="120"/>
              <w:jc w:val="both"/>
            </w:pPr>
            <w:r>
              <w:rPr>
                <w:b w:val="false"/>
                <w:bCs w:val="false"/>
                <w:color w:val="000000"/>
                <w:sz w:val="22"/>
                <w:szCs w:val="22"/>
                <w:rFonts w:ascii="Calibri" w:cs="Calibri" w:eastAsia="Calibri" w:hAnsi="Calibri"/>
              </w:rPr>
              <w:t xml:space="preserve">Design of Dar es Salaam Urban Jobs Programme. Gulden carried out the economic appraisal and VfM assessment for the design of an urban job creation programme for DFID Tanzania. The economic appraisal was based on a break even analysis, as it was unclear how many jobs could be targeted. This method, mainly utilizing Gross Value Added (GVA) for valuing a job was highly commanded by DFID Quality Assurance teams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 2016-Feb 2017; Sept 2018-2019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 VfM Advisor</w:t>
            </w:r>
          </w:p>
          <w:p>
            <w:pPr>
              <w:spacing w:after="120"/>
            </w:pPr>
            <w:r>
              <w:rPr>
                <w:b/>
                <w:bCs/>
                <w:color w:val="000000"/>
                <w:sz w:val="22"/>
                <w:szCs w:val="22"/>
                <w:rFonts w:ascii="Calibri" w:cs="Calibri" w:eastAsia="Calibri" w:hAnsi="Calibri"/>
              </w:rPr>
              <w:t xml:space="preserve">Client: DFID Ghana; CSSF West Africa | Location: Ghana; West Africa</w:t>
            </w:r>
          </w:p>
          <w:p>
            <w:pPr>
              <w:spacing w:after="120"/>
              <w:jc w:val="both"/>
            </w:pPr>
            <w:r>
              <w:rPr>
                <w:b w:val="false"/>
                <w:bCs w:val="false"/>
                <w:color w:val="000000"/>
                <w:sz w:val="22"/>
                <w:szCs w:val="22"/>
                <w:rFonts w:ascii="Calibri" w:cs="Calibri" w:eastAsia="Calibri" w:hAnsi="Calibri"/>
              </w:rPr>
              <w:t xml:space="preserve">Carried out an economic appraisal and VfM review of this market development (M4P) programme based in northern Ghana, reporting to DFID Ghana. Gulden delivered a CBA focusing on the rice intervention. She also reviewed their existing VfM reporting and proposed alternative and more substantial indicators and comparator programmes (Nov 2016-Feb 2017).</w:t>
            </w:r>
          </w:p>
          <w:p>
            <w:pPr>
              <w:spacing w:after="120"/>
              <w:jc w:val="both"/>
            </w:pPr>
            <w:r>
              <w:rPr>
                <w:b w:val="false"/>
                <w:bCs w:val="false"/>
                <w:color w:val="000000"/>
                <w:sz w:val="22"/>
                <w:szCs w:val="22"/>
                <w:rFonts w:ascii="Calibri" w:cs="Calibri" w:eastAsia="Calibri" w:hAnsi="Calibri"/>
              </w:rPr>
              <w:t xml:space="preserve">Gulden worked on the MEL services provision programme for the CSSF West Africa portfolio, which included 7 country programmes and 21 projects. She wrote guidance, developed toolkits and provided ongoing VfM support. CSSF is a cross-UK government funding mechanism around £200m in value (Sept 2018-2019).</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Employment:</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March 2010-present</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Independent Consultant</w:t>
            </w:r>
          </w:p>
          <w:p>
            <w:pPr>
              <w:spacing w:after="120"/>
              <w:jc w:val="both"/>
            </w:pPr>
            <w:r>
              <w:rPr>
                <w:b w:val="false"/>
                <w:bCs w:val="false"/>
                <w:color w:val="000000"/>
                <w:sz w:val="22"/>
                <w:szCs w:val="22"/>
                <w:rFonts w:ascii="Calibri" w:cs="Calibri" w:eastAsia="Calibri" w:hAnsi="Calibri"/>
              </w:rPr>
              <w:t xml:space="preserve">Nathan Associates UK</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line="280"/>
      <w:jc w:val="both"/>
    </w:pPr>
    <w:rPr>
      <w:color w:val="000000"/>
      <w:sz w:val="22"/>
      <w:szCs w:val="2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Gulden</dc:title>
  <dc:creator>IOD PARC CV Generator</dc:creator>
  <cp:lastModifiedBy>Un-named</cp:lastModifiedBy>
  <cp:revision>1</cp:revision>
  <dcterms:created xsi:type="dcterms:W3CDTF">2025-05-30T19:24:52.391Z</dcterms:created>
  <dcterms:modified xsi:type="dcterms:W3CDTF">2025-05-30T19:24:52.391Z</dcterms:modified>
</cp:coreProperties>
</file>

<file path=docProps/custom.xml><?xml version="1.0" encoding="utf-8"?>
<Properties xmlns="http://schemas.openxmlformats.org/officeDocument/2006/custom-properties" xmlns:vt="http://schemas.openxmlformats.org/officeDocument/2006/docPropsVTypes"/>
</file>