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500"/>
        <w:gridCol w:w="2500"/>
        <w:gridCol w:w="1500"/>
        <w:gridCol w:w="2500"/>
      </w:tblGrid>
      <w:tr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/>
        </w:tc>
        <w:tc>
          <w:tcPr>
            <w:tcW w:type="pct" w:w="80%"/>
            <w:gridSpan w:val="3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400"/>
              <w:jc w:val="left"/>
            </w:pPr>
            <w:r>
              <w:rPr>
                <w:b w:val="false"/>
                <w:bCs w:val="false"/>
                <w:color w:val="000000"/>
                <w:sz w:val="48"/>
                <w:szCs w:val="48"/>
                <w:rFonts w:ascii="Calibri" w:cs="Calibri" w:eastAsia="Calibri" w:hAnsi="Calibri"/>
              </w:rPr>
              <w:t xml:space="preserve">Unknown</w:t>
            </w:r>
          </w:p>
        </w:tc>
      </w:tr>
      <w:tr>
        <w:tc>
          <w:tcPr>
            <w:tcW w:type="pct" w:w="20%"/>
            <w:gridSpan w:val="1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0"/>
              <w:jc w:val="left"/>
            </w:pPr>
            <w:r>
              <w:rPr>
                <w:b/>
                <w:bCs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W w:type="pct" w:w="80%"/>
            <w:gridSpan w:val="3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120" w:line="280"/>
              <w:jc w:val="both"/>
            </w:pPr>
            <w:r>
              <w:rPr>
                <w:b w:val="false"/>
                <w:bCs w:val="false"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Areas of expertise: Inclusive governance, with expertise in rule of law, access to justice and human rights. Experienced in programme/outcome/impact evaluations; programme development; quantitative and qualitative analysis; M&amp;E including evaluation of triple NEXUS approaches; RBM; political economy analysis and theory of change; institutional building and capacity development; international human rights framework and standards; gender equality and women’s empowerment; human rights based approach and “leave no-one behind”; Over 20 years of professional experience in the provision of policy, technical and analytical advisory services to international multi- and bi-lateral organisations; Country experience: Experience in conflict, post-conflict and fragile/transitioning states including Afghanistan, Albania, Azerbaijan, Bangladesh, Bosnia &amp; Herzegovina, Bhutan, Cambodia, Cameroon, Croatia, Fiji, Kosovo, Kyrgyzstan, India, Indonesia, Jamaica, Malaysia, Moldova, Mongolia, Montenegro, Myanmar, Nepal, North Macedonia, Serbia, Solomon Islands, Sri Lanka, South Sudan, Tajikistan, Thailand, Tonga, Ukraine, Uzbekistan, Vietnam &amp; Yemen.Post-Graduate Diploma in Professional Legal Skills (Inns of Court School of Law, London 1999), Post Graduate Diploma in Law (College of Law, London 1998), BA (Hons) History 2:1 (University of London 1997).Personal attributes: excellent analytical and drafting skills, broad publications record, time management and organizational skills, culturally sensitive, team player equally capable of working independently, attention to detail, conscientious, strong inter-personal skills.</w:t>
            </w:r>
          </w:p>
        </w:tc>
      </w:tr>
      <w:tr>
        <w:tc>
          <w:tcPr>
            <w:tcW w:type="pct" w:w="20%"/>
            <w:gridSpan w:val="1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0"/>
              <w:jc w:val="left"/>
            </w:pPr>
            <w:r>
              <w:rPr>
                <w:b/>
                <w:bCs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Nationality</w:t>
            </w:r>
          </w:p>
        </w:tc>
        <w:tc>
          <w:tcPr>
            <w:tcW w:type="pct" w:w="30%"/>
            <w:gridSpan w:val="1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120" w:line="280"/>
              <w:jc w:val="both"/>
            </w:pPr>
            <w:r>
              <w:rPr>
                <w:b w:val="false"/>
                <w:bCs w:val="false"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</w:tc>
        <w:tc>
          <w:tcPr>
            <w:tcW w:type="pct" w:w="15%"/>
            <w:gridSpan w:val="1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120" w:line="280"/>
              <w:jc w:val="both"/>
            </w:pPr>
            <w:r>
              <w:rPr>
                <w:b w:val="false"/>
                <w:bCs w:val="false"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Languages</w:t>
            </w:r>
          </w:p>
        </w:tc>
        <w:tc>
          <w:tcPr>
            <w:tcW w:type="pct" w:w="35%"/>
            <w:gridSpan w:val="1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120" w:line="280"/>
              <w:jc w:val="both"/>
            </w:pPr>
            <w:r>
              <w:rPr>
                <w:b w:val="false"/>
                <w:bCs w:val="false"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Not specified (Not specified)</w:t>
            </w:r>
          </w:p>
        </w:tc>
      </w:tr>
      <w:tr>
        <w:tc>
          <w:tcPr>
            <w:tcW w:type="pct" w:w="20%"/>
            <w:gridSpan w:val="1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0"/>
              <w:jc w:val="left"/>
            </w:pPr>
            <w:r>
              <w:rPr>
                <w:b/>
                <w:bCs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W w:type="pct" w:w="80%"/>
            <w:gridSpan w:val="3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120"/>
            </w:pPr>
            <w:r>
              <w:rPr>
                <w:b/>
                <w:bCs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Information temporarily unavailable (AI service temporarily unavailable), Unknown, Please try again</w:t>
            </w:r>
          </w:p>
        </w:tc>
      </w:tr>
      <w:tr>
        <w:tc>
          <w:tcPr>
            <w:tcW w:type="pct" w:w="20%"/>
            <w:gridSpan w:val="1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0"/>
              <w:jc w:val="left"/>
            </w:pPr>
            <w:r>
              <w:rPr>
                <w:b/>
                <w:bCs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W w:type="pct" w:w="80%"/>
            <w:gridSpan w:val="3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120" w:line="280"/>
              <w:jc w:val="both"/>
            </w:pPr>
            <w:r>
              <w:rPr>
                <w:b w:val="false"/>
                <w:bCs w:val="false"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Information not available</w:t>
            </w:r>
          </w:p>
        </w:tc>
      </w:tr>
      <w:tr>
        <w:tc>
          <w:tcPr>
            <w:tcW w:type="pct" w:w="100%"/>
            <w:gridSpan w:val="4"/>
            <w:tcBorders>
              <w:top w:val="none"/>
              <w:left w:val="none"/>
              <w:bottom w:val="none"/>
              <w:right w:val="none"/>
            </w:tcBorders>
            <w:tcMar>
              <w:top w:type="dxa" w:w="2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before="200" w:after="100"/>
            </w:pPr>
            <w:r>
              <w:rPr>
                <w:b w:val="false"/>
                <w:bCs w:val="false"/>
                <w:color w:val="000000"/>
                <w:sz w:val="48"/>
                <w:szCs w:val="48"/>
                <w:rFonts w:ascii="Calibri" w:cs="Calibri" w:eastAsia="Calibri" w:hAnsi="Calibri"/>
              </w:rPr>
              <w:t xml:space="preserve">Experience: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r>
              <w:rPr>
                <w:color w:val="000000"/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</w:tc>
        <w:tc>
          <w:tcPr>
            <w:tcW w:type="pct" w:w="85%"/>
            <w:gridSpan w:val="3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60"/>
            </w:pPr>
            <w:r>
              <w:rPr>
                <w:b/>
                <w:bCs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Information temporarily unavailable</w:t>
            </w:r>
          </w:p>
          <w:p>
            <w:pPr>
              <w:spacing w:after="120"/>
            </w:pPr>
            <w:r>
              <w:rPr>
                <w:b/>
                <w:bCs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Client: Please try again | Location: Unknown</w:t>
            </w:r>
          </w:p>
          <w:p>
            <w:pPr>
              <w:spacing w:after="120"/>
              <w:jc w:val="both"/>
            </w:pPr>
            <w:r>
              <w:rPr>
                <w:b w:val="false"/>
                <w:bCs w:val="false"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AI extraction service temporarily unavailable. Please ensure API configuration is correct.</w:t>
            </w:r>
          </w:p>
        </w:tc>
      </w:tr>
      <w:tr>
        <w:tc>
          <w:tcPr>
            <w:tcW w:type="pct" w:w="100%"/>
            <w:gridSpan w:val="4"/>
            <w:tcBorders>
              <w:top w:val="none"/>
              <w:left w:val="none"/>
              <w:bottom w:val="none"/>
              <w:right w:val="none"/>
            </w:tcBorders>
            <w:tcMar>
              <w:top w:type="dxa" w:w="2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before="200" w:after="100"/>
            </w:pPr>
            <w:r>
              <w:rPr>
                <w:b w:val="false"/>
                <w:bCs w:val="false"/>
                <w:color w:val="000000"/>
                <w:sz w:val="48"/>
                <w:szCs w:val="48"/>
                <w:rFonts w:ascii="Calibri" w:cs="Calibri" w:eastAsia="Calibri" w:hAnsi="Calibri"/>
              </w:rPr>
              <w:t xml:space="preserve">Employment: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r>
              <w:rPr>
                <w:color w:val="000000"/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</w:tc>
        <w:tc>
          <w:tcPr>
            <w:tcW w:type="pct" w:w="85%"/>
            <w:gridSpan w:val="3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60"/>
            </w:pPr>
            <w:r>
              <w:rPr>
                <w:b/>
                <w:bCs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Information temporarily unavailable</w:t>
            </w:r>
          </w:p>
          <w:p>
            <w:pPr>
              <w:spacing w:after="120"/>
              <w:jc w:val="both"/>
            </w:pPr>
            <w:r>
              <w:rPr>
                <w:b w:val="false"/>
                <w:bCs w:val="false"/>
                <w:color w:val="000000"/>
                <w:sz w:val="22"/>
                <w:szCs w:val="22"/>
                <w:rFonts w:ascii="Calibri" w:cs="Calibri" w:eastAsia="Calibri" w:hAnsi="Calibri"/>
              </w:rPr>
              <w:t xml:space="preserve">Please try again</w:t>
            </w:r>
          </w:p>
        </w:tc>
      </w:tr>
      <w:tr>
        <w:tc>
          <w:tcPr>
            <w:tcW w:type="pct" w:w="100%"/>
            <w:gridSpan w:val="4"/>
            <w:tcBorders>
              <w:top w:val="none"/>
              <w:left w:val="none"/>
              <w:bottom w:val="none"/>
              <w:right w:val="none"/>
            </w:tcBorders>
            <w:tcMar>
              <w:top w:type="dxa" w:w="2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before="200" w:after="100"/>
            </w:pPr>
            <w:r>
              <w:rPr>
                <w:b w:val="false"/>
                <w:bCs w:val="false"/>
                <w:color w:val="000000"/>
                <w:sz w:val="48"/>
                <w:szCs w:val="48"/>
                <w:rFonts w:ascii="Calibri" w:cs="Calibri" w:eastAsia="Calibri" w:hAnsi="Calibri"/>
              </w:rPr>
              <w:t xml:space="preserve">Publications:</w:t>
            </w:r>
          </w:p>
        </w:tc>
      </w:tr>
      <w:tr>
        <w:tc>
          <w:tcPr>
            <w:tcW w:type="pct" w:w="100%"/>
            <w:gridSpan w:val="4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50"/>
              <w:bottom w:type="dxa" w:w="100"/>
              <w:right w:type="dxa" w:w="150"/>
            </w:tcMar>
            <w:vAlign w:val="top"/>
          </w:tcPr>
          <w:p>
            <w:pPr>
              <w:spacing w:after="120"/>
            </w:pPr>
            <w:r>
              <w:rPr>
                <w:color w:val="000000"/>
                <w:sz w:val="22"/>
                <w:szCs w:val="22"/>
                <w:rFonts w:ascii="Calibri" w:cs="Calibri" w:eastAsia="Calibri" w:hAnsi="Calibri"/>
              </w:rPr>
              <w:t xml:space="preserve">Publications information temporarily unavailable</w:t>
            </w:r>
          </w:p>
        </w:tc>
      </w:tr>
    </w:tbl>
    <w:sectPr>
      <w:footerReference w:type="default" r:id="rId6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CURRENTTOTAL_PAGES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120" w:line="2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Unknown</dc:title>
  <dc:creator>IOD PARC CV Generator</dc:creator>
  <cp:lastModifiedBy>Un-named</cp:lastModifiedBy>
  <cp:revision>1</cp:revision>
  <dcterms:created xsi:type="dcterms:W3CDTF">2025-05-30T19:39:05.798Z</dcterms:created>
  <dcterms:modified xsi:type="dcterms:W3CDTF">2025-05-30T19:39:05.798Z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