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Current position: Independent consultant / Humanitarian and Public Health
Years of professional experience: 26+
Key Skills and Expertise:
Language proficiency:
- English (5/5 Reading, Speaking, Writing)
- Dutch (5/5 Reading, Speaking, Writing)
- French (5/5 Reading, Speaking, Writing)
- Spanish (3/2/3 Reading, Speaking, Writing)
Professional Memberships:
- Member of Médecins Sans Frontières Association
- Member of Golden Key Monash University
Countries of work experience: Afghanistan (3), Bangladesh (4), Burkina Faso (1), Burundi (1), Cameroon (1), Chad (1), Central African Republic (2), Democratic Republic of the Congo (4), East Timor (1), Ethiopia (6), Ghana (2), Guinea Conakry (3), Iran (1), Kenya (2), Liberia (2), Madagascar (4), Myanmar (2), Niger (2), Nigeria (2), Uganda (4), Papua New Guinea (1), Samoa (1), Sierra Leone (3), Somalia (2), South Sudan (2), Rwanda (1), Tanzania (1), Yemen (3)
Responsibilities: Designing, planning, and coordinating humanitarian and health program evaluation assignments, studies, quality technical audits, surveys and research, specializing in emergency response and preparedness and health system strengthening for a variety of NGOs, UN groups, donors, and CSOs.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Belgium</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English (Fluent), Dutch (Fluent), French (Fluent), Spanish (Intermediate)</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pPr>
            <w:r>
              <w:rPr>
                <w:b/>
                <w:bCs/>
                <w:color w:val="000000"/>
                <w:sz w:val="22"/>
                <w:szCs w:val="22"/>
                <w:rFonts w:ascii="Calibri" w:cs="Calibri" w:eastAsia="Calibri" w:hAnsi="Calibri"/>
              </w:rPr>
              <w:t xml:space="preserve">Master's degree in Public Health (Melbourne, Australia), 2009, Monash University</w:t>
            </w:r>
          </w:p>
          <w:p>
            <w:pPr>
              <w:spacing w:after="120"/>
            </w:pPr>
            <w:r>
              <w:rPr>
                <w:b/>
                <w:bCs/>
                <w:color w:val="000000"/>
                <w:sz w:val="22"/>
                <w:szCs w:val="22"/>
                <w:rFonts w:ascii="Calibri" w:cs="Calibri" w:eastAsia="Calibri" w:hAnsi="Calibri"/>
              </w:rPr>
              <w:t xml:space="preserve">Postgraduate Diploma in Tropical Medicine (Antwerp, Belgium), 1998, Institute of Tropical Medicine (ITM)</w:t>
            </w:r>
          </w:p>
          <w:p>
            <w:pPr>
              <w:spacing w:after="120"/>
            </w:pPr>
            <w:r>
              <w:rPr>
                <w:b/>
                <w:bCs/>
                <w:color w:val="000000"/>
                <w:sz w:val="22"/>
                <w:szCs w:val="22"/>
                <w:rFonts w:ascii="Calibri" w:cs="Calibri" w:eastAsia="Calibri" w:hAnsi="Calibri"/>
              </w:rPr>
              <w:t xml:space="preserve">Bachelor of Midwifery and Hospital nursing (Gent, Belgium), 1997, VLOV</w:t>
            </w:r>
          </w:p>
          <w:p>
            <w:pPr>
              <w:spacing w:after="120"/>
            </w:pPr>
            <w:r>
              <w:rPr>
                <w:b/>
                <w:bCs/>
                <w:color w:val="000000"/>
                <w:sz w:val="22"/>
                <w:szCs w:val="22"/>
                <w:rFonts w:ascii="Calibri" w:cs="Calibri" w:eastAsia="Calibri" w:hAnsi="Calibri"/>
              </w:rPr>
              <w:t xml:space="preserve">Health in humanitarian crisis (online course), 2019, London School of Hygiene and Tropical Medicine</w:t>
            </w:r>
          </w:p>
          <w:p>
            <w:pPr>
              <w:spacing w:after="120"/>
            </w:pPr>
            <w:r>
              <w:rPr>
                <w:b/>
                <w:bCs/>
                <w:color w:val="000000"/>
                <w:sz w:val="22"/>
                <w:szCs w:val="22"/>
                <w:rFonts w:ascii="Calibri" w:cs="Calibri" w:eastAsia="Calibri" w:hAnsi="Calibri"/>
              </w:rPr>
              <w:t xml:space="preserve">Lancet Maternal Health series (online course), 2017, London School of Hygiene and Tropical Medicine</w:t>
            </w:r>
          </w:p>
          <w:p>
            <w:pPr>
              <w:spacing w:after="120"/>
            </w:pPr>
            <w:r>
              <w:rPr>
                <w:b/>
                <w:bCs/>
                <w:color w:val="000000"/>
                <w:sz w:val="22"/>
                <w:szCs w:val="22"/>
                <w:rFonts w:ascii="Calibri" w:cs="Calibri" w:eastAsia="Calibri" w:hAnsi="Calibri"/>
              </w:rPr>
              <w:t xml:space="preserve">International Women's Health &amp; Human Rights (online course), 2016, Stanford University</w:t>
            </w:r>
          </w:p>
          <w:p>
            <w:pPr>
              <w:spacing w:after="120"/>
            </w:pPr>
            <w:r>
              <w:rPr>
                <w:b/>
                <w:bCs/>
                <w:color w:val="000000"/>
                <w:sz w:val="22"/>
                <w:szCs w:val="22"/>
                <w:rFonts w:ascii="Calibri" w:cs="Calibri" w:eastAsia="Calibri" w:hAnsi="Calibri"/>
              </w:rPr>
              <w:t xml:space="preserve">Health of women, children, and adolescents: from evidence base to action (online course), 2015, London School of Hygiene and Tropical Medicine</w:t>
            </w:r>
          </w:p>
          <w:p>
            <w:pPr>
              <w:spacing w:after="120"/>
            </w:pPr>
            <w:r>
              <w:rPr>
                <w:b/>
                <w:bCs/>
                <w:color w:val="000000"/>
                <w:sz w:val="22"/>
                <w:szCs w:val="22"/>
                <w:rFonts w:ascii="Calibri" w:cs="Calibri" w:eastAsia="Calibri" w:hAnsi="Calibri"/>
              </w:rPr>
              <w:t xml:space="preserve">Programme management VIH/PTME, 2012, University of Cape Town</w:t>
            </w:r>
          </w:p>
          <w:p>
            <w:pPr>
              <w:spacing w:after="120"/>
            </w:pPr>
            <w:r>
              <w:rPr>
                <w:b/>
                <w:bCs/>
                <w:color w:val="000000"/>
                <w:sz w:val="22"/>
                <w:szCs w:val="22"/>
                <w:rFonts w:ascii="Calibri" w:cs="Calibri" w:eastAsia="Calibri" w:hAnsi="Calibri"/>
              </w:rPr>
              <w:t xml:space="preserve">Epidémiologie et population en situation précaire, 2008, Epicentre</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vAlign w:val="top"/>
          </w:tcP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2009-2012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 Humanitarian and Public Health Expert</w:t>
            </w:r>
          </w:p>
          <w:p>
            <w:pPr>
              <w:spacing w:after="120"/>
            </w:pPr>
            <w:r>
              <w:rPr>
                <w:b/>
                <w:bCs/>
                <w:color w:val="000000"/>
                <w:sz w:val="22"/>
                <w:szCs w:val="22"/>
                <w:rFonts w:ascii="Calibri" w:cs="Calibri" w:eastAsia="Calibri" w:hAnsi="Calibri"/>
              </w:rPr>
              <w:t xml:space="preserve">Client: Médecins Sans Frontières | Location: Not specified</w:t>
            </w:r>
          </w:p>
          <w:p>
            <w:pPr>
              <w:spacing w:after="120"/>
              <w:jc w:val="both"/>
            </w:pPr>
            <w:r>
              <w:rPr>
                <w:b w:val="false"/>
                <w:bCs w:val="false"/>
                <w:color w:val="000000"/>
                <w:sz w:val="22"/>
                <w:szCs w:val="22"/>
                <w:rFonts w:ascii="Calibri" w:cs="Calibri" w:eastAsia="Calibri" w:hAnsi="Calibri"/>
              </w:rPr>
              <w:t xml:space="preserve">Designing, planning, and coordinating humanitarian and health program evaluation assignments, studies, quality technical audits, surveys and research, specializing in emergency response and preparedness and health system strengthening for a variety of NGOs, UN groups, donors, and CSOs.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2006 to 2009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Country director</w:t>
            </w:r>
          </w:p>
          <w:p>
            <w:pPr>
              <w:spacing w:after="120"/>
            </w:pPr>
            <w:r>
              <w:rPr>
                <w:b/>
                <w:bCs/>
                <w:color w:val="000000"/>
                <w:sz w:val="22"/>
                <w:szCs w:val="22"/>
                <w:rFonts w:ascii="Calibri" w:cs="Calibri" w:eastAsia="Calibri" w:hAnsi="Calibri"/>
              </w:rPr>
              <w:t xml:space="preserve">Client: Médecins Sans Frontières | Location: Papua New Guinea, Samoa, Uganda</w:t>
            </w:r>
          </w:p>
          <w:p>
            <w:pPr>
              <w:spacing w:after="120"/>
              <w:jc w:val="both"/>
            </w:pPr>
            <w:r>
              <w:rPr>
                <w:b w:val="false"/>
                <w:bCs w:val="false"/>
                <w:color w:val="000000"/>
                <w:sz w:val="22"/>
                <w:szCs w:val="22"/>
                <w:rFonts w:ascii="Calibri" w:cs="Calibri" w:eastAsia="Calibri" w:hAnsi="Calibri"/>
              </w:rPr>
              <w:t xml:space="preserve">Papua New Guinea: cholera/Shigella outbreak response and preparedness</w:t>
            </w:r>
          </w:p>
          <w:p>
            <w:pPr>
              <w:spacing w:after="120"/>
              <w:jc w:val="both"/>
            </w:pPr>
            <w:r>
              <w:rPr>
                <w:b w:val="false"/>
                <w:bCs w:val="false"/>
                <w:color w:val="000000"/>
                <w:sz w:val="22"/>
                <w:szCs w:val="22"/>
                <w:rFonts w:ascii="Calibri" w:cs="Calibri" w:eastAsia="Calibri" w:hAnsi="Calibri"/>
              </w:rPr>
              <w:t xml:space="preserve">Samoa: tsunami disaster response and recovery, vaccination campaigns</w:t>
            </w:r>
          </w:p>
          <w:p>
            <w:pPr>
              <w:spacing w:after="120"/>
              <w:jc w:val="both"/>
            </w:pPr>
            <w:r>
              <w:rPr>
                <w:b w:val="false"/>
                <w:bCs w:val="false"/>
                <w:color w:val="000000"/>
                <w:sz w:val="22"/>
                <w:szCs w:val="22"/>
                <w:rFonts w:ascii="Calibri" w:cs="Calibri" w:eastAsia="Calibri" w:hAnsi="Calibri"/>
              </w:rPr>
              <w:t xml:space="preserve">Uganda: PHC, health and nutrition programming, RMNCH/HIV/TV/MDR, refugees, VHF outbreaks /EVD, HepE)</w:t>
            </w:r>
          </w:p>
          <w:p>
            <w:pPr>
              <w:spacing w:after="120"/>
              <w:jc w:val="both"/>
            </w:pPr>
            <w:r>
              <w:rPr>
                <w:b w:val="false"/>
                <w:bCs w:val="false"/>
                <w:color w:val="000000"/>
                <w:sz w:val="22"/>
                <w:szCs w:val="22"/>
                <w:rFonts w:ascii="Calibri" w:cs="Calibri" w:eastAsia="Calibri" w:hAnsi="Calibri"/>
              </w:rPr>
              <w:t xml:space="preserve">Responsibilities: Country level management of the day-to-day operations: ensuring the strategic direction of the mission in accordance with MSF's strategic planning; final operational, administrative, financial and legal responsible; monitoring and analysis of the country's social, political and humanitarian context; develop early warning and contingency planning; implementation and coordination of emergency and humanitarian response in fragile states, refugee contexts, health emergency contexts; negotiation, influencing, and advocacy initiatives on issues impacting humanitarian needs and response; liaison with humanitarian partners, government officials, and the media; consultations and participating with other humanitarian agencies and partners, UN system, government agencies, interagency working groups, taskforces and clusters.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1998 to 2006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Medical country coordinator</w:t>
            </w:r>
          </w:p>
          <w:p>
            <w:pPr>
              <w:spacing w:after="120"/>
            </w:pPr>
            <w:r>
              <w:rPr>
                <w:b/>
                <w:bCs/>
                <w:color w:val="000000"/>
                <w:sz w:val="22"/>
                <w:szCs w:val="22"/>
                <w:rFonts w:ascii="Calibri" w:cs="Calibri" w:eastAsia="Calibri" w:hAnsi="Calibri"/>
              </w:rPr>
              <w:t xml:space="preserve">Client: Médecins Sans Frontières | Location: Ethiopia, Afghanistan, Yemen, Uganda</w:t>
            </w:r>
          </w:p>
          <w:p>
            <w:pPr>
              <w:spacing w:after="120"/>
              <w:jc w:val="both"/>
            </w:pPr>
            <w:r>
              <w:rPr>
                <w:b w:val="false"/>
                <w:bCs w:val="false"/>
                <w:color w:val="000000"/>
                <w:sz w:val="22"/>
                <w:szCs w:val="22"/>
                <w:rFonts w:ascii="Calibri" w:cs="Calibri" w:eastAsia="Calibri" w:hAnsi="Calibri"/>
              </w:rPr>
              <w:t xml:space="preserve">Ethiopia: PHC, nutrition, measles/cholera/meningitis outbreak response, flood/drought disaster response, Afghanistan: PHC, nutrition, cross border humanitarian and disaster relief in violent conflict/fragile state contextsYemen: PHC and specialist care, nutrition programming, in conflict/fragile state contextUganda: PHC, HIV/TB programming, Ebola/HEV/yellow fever/nodding disease/measles outbreak response</w:t>
            </w:r>
          </w:p>
          <w:p>
            <w:pPr>
              <w:spacing w:after="120"/>
              <w:jc w:val="both"/>
            </w:pPr>
            <w:r>
              <w:rPr>
                <w:b w:val="false"/>
                <w:bCs w:val="false"/>
                <w:color w:val="000000"/>
                <w:sz w:val="22"/>
                <w:szCs w:val="22"/>
                <w:rFonts w:ascii="Calibri" w:cs="Calibri" w:eastAsia="Calibri" w:hAnsi="Calibri"/>
              </w:rPr>
              <w:t xml:space="preserve">Responsibilities: Country level management of the medical aspects of the day-to-day operations: ensuring the strategic direction of the mission in accordance with MSF's strategic planning; monitoring and analysis of medical results and achievement in the mission, technical support to junior medical teams; coordinating disaster preparedness, response and recovery efforts; develop and maintain a "watch list" including country specific indicators of potential humanitarian crisis in-country in collaboration with area experts, government/UN system, working groups and task forces; takes the lead in providing support and information to relevant interagency technical review groups and emergency task forces specific to medical aspects of humanitarian response; participate in meetings to support policy development work and decision making on humanitarian topics; implementation and advocating of recommendations emanating from relevant studies to government and humanitarian agencies and partners, and UN system.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Program management</w:t>
            </w:r>
          </w:p>
          <w:p>
            <w:pPr>
              <w:spacing w:after="120"/>
            </w:pPr>
            <w:r>
              <w:rPr>
                <w:b/>
                <w:bCs/>
                <w:color w:val="000000"/>
                <w:sz w:val="22"/>
                <w:szCs w:val="22"/>
                <w:rFonts w:ascii="Calibri" w:cs="Calibri" w:eastAsia="Calibri" w:hAnsi="Calibri"/>
              </w:rPr>
              <w:t xml:space="preserve">Client: Not specified | Location: Multiple locations (Soudan, Guinee Conakry, Somali, East Timor, Central African Republic)</w:t>
            </w:r>
          </w:p>
          <w:p>
            <w:pPr>
              <w:spacing w:after="120"/>
              <w:jc w:val="both"/>
            </w:pPr>
            <w:r>
              <w:rPr>
                <w:b w:val="false"/>
                <w:bCs w:val="false"/>
                <w:color w:val="000000"/>
                <w:sz w:val="22"/>
                <w:szCs w:val="22"/>
                <w:rFonts w:ascii="Calibri" w:cs="Calibri" w:eastAsia="Calibri" w:hAnsi="Calibri"/>
              </w:rPr>
              <w:t xml:space="preserve">Position: Program management</w:t>
            </w:r>
          </w:p>
          <w:p>
            <w:pPr>
              <w:spacing w:after="120"/>
              <w:jc w:val="both"/>
            </w:pPr>
            <w:r>
              <w:rPr>
                <w:b w:val="false"/>
                <w:bCs w:val="false"/>
                <w:color w:val="000000"/>
                <w:sz w:val="22"/>
                <w:szCs w:val="22"/>
                <w:rFonts w:ascii="Calibri" w:cs="Calibri" w:eastAsia="Calibri" w:hAnsi="Calibri"/>
              </w:rPr>
              <w:t xml:space="preserve">Soudan: famine context, PHC and nutrition programming, meningitis/cholera outbreak response</w:t>
            </w:r>
          </w:p>
          <w:p>
            <w:pPr>
              <w:spacing w:after="120"/>
              <w:jc w:val="both"/>
            </w:pPr>
            <w:r>
              <w:rPr>
                <w:b w:val="false"/>
                <w:bCs w:val="false"/>
                <w:color w:val="000000"/>
                <w:sz w:val="22"/>
                <w:szCs w:val="22"/>
                <w:rFonts w:ascii="Calibri" w:cs="Calibri" w:eastAsia="Calibri" w:hAnsi="Calibri"/>
              </w:rPr>
              <w:t xml:space="preserve">Guinee Conakry: refugee context, PHC and nutrition programming, measles/DTP outbreak response</w:t>
            </w:r>
          </w:p>
          <w:p>
            <w:pPr>
              <w:spacing w:after="120"/>
              <w:jc w:val="both"/>
            </w:pPr>
            <w:r>
              <w:rPr>
                <w:b w:val="false"/>
                <w:bCs w:val="false"/>
                <w:color w:val="000000"/>
                <w:sz w:val="22"/>
                <w:szCs w:val="22"/>
                <w:rFonts w:ascii="Calibri" w:cs="Calibri" w:eastAsia="Calibri" w:hAnsi="Calibri"/>
              </w:rPr>
              <w:t xml:space="preserve">Somali: PHC and specialist care, in conflict/fragile state context, cholera outbreak response</w:t>
            </w:r>
          </w:p>
          <w:p>
            <w:pPr>
              <w:spacing w:after="120"/>
              <w:jc w:val="both"/>
            </w:pPr>
            <w:r>
              <w:rPr>
                <w:b w:val="false"/>
                <w:bCs w:val="false"/>
                <w:color w:val="000000"/>
                <w:sz w:val="22"/>
                <w:szCs w:val="22"/>
                <w:rFonts w:ascii="Calibri" w:cs="Calibri" w:eastAsia="Calibri" w:hAnsi="Calibri"/>
              </w:rPr>
              <w:t xml:space="preserve">East Timor: PHC and specialist care, in conflict/fragile state context, Japanese encephalitis outbreak response</w:t>
            </w:r>
          </w:p>
          <w:p>
            <w:pPr>
              <w:spacing w:after="120"/>
              <w:jc w:val="both"/>
            </w:pPr>
            <w:r>
              <w:rPr>
                <w:b w:val="false"/>
                <w:bCs w:val="false"/>
                <w:color w:val="000000"/>
                <w:sz w:val="22"/>
                <w:szCs w:val="22"/>
                <w:rFonts w:ascii="Calibri" w:cs="Calibri" w:eastAsia="Calibri" w:hAnsi="Calibri"/>
              </w:rPr>
              <w:t xml:space="preserve">Central African Republic: PHC and nutrition programming, in refugee context</w:t>
            </w:r>
          </w:p>
          <w:p>
            <w:pPr>
              <w:spacing w:after="120"/>
              <w:jc w:val="both"/>
            </w:pPr>
            <w:r>
              <w:rPr>
                <w:b w:val="false"/>
                <w:bCs w:val="false"/>
                <w:color w:val="000000"/>
                <w:sz w:val="22"/>
                <w:szCs w:val="22"/>
                <w:rFonts w:ascii="Calibri" w:cs="Calibri" w:eastAsia="Calibri" w:hAnsi="Calibri"/>
              </w:rPr>
              <w:t xml:space="preserve">Responsibilities: Responsible of day-to-day program management, implementation, monitoring and evaluation of medical results and achievement, implementation of humanitarian preparedness, response and recovery activities, operational research implementation, liaison and networking with local and regional government officials, UN system, experts, working groups and humanitarian task forces.</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Not specified</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Not specified</w:t>
            </w:r>
          </w:p>
          <w:p>
            <w:pPr>
              <w:spacing w:after="120"/>
              <w:jc w:val="both"/>
            </w:pPr>
            <w:r>
              <w:rPr>
                <w:b w:val="false"/>
                <w:bCs w:val="false"/>
                <w:color w:val="000000"/>
                <w:sz w:val="22"/>
                <w:szCs w:val="22"/>
                <w:rFonts w:ascii="Calibri" w:cs="Calibri" w:eastAsia="Calibri" w:hAnsi="Calibri"/>
              </w:rPr>
              <w:t xml:space="preserve">Not specified</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Inter-Agency Humanitarian Evaluation of the COVID-19 Humanitarian Response, March 2023</w:t>
            </w:r>
          </w:p>
          <w:p>
            <w:pPr>
              <w:spacing w:after="120"/>
            </w:pPr>
            <w:r>
              <w:rPr>
                <w:color w:val="000000"/>
                <w:sz w:val="22"/>
                <w:szCs w:val="22"/>
                <w:rFonts w:ascii="Calibri" w:cs="Calibri" w:eastAsia="Calibri" w:hAnsi="Calibri"/>
              </w:rPr>
              <w:t xml:space="preserve">Evaluation of the UNICEF Uganda preparedness and response to the Level 2 Ebola emergency</w:t>
            </w:r>
          </w:p>
          <w:p>
            <w:pPr>
              <w:spacing w:after="120"/>
            </w:pPr>
            <w:r>
              <w:rPr>
                <w:color w:val="000000"/>
                <w:sz w:val="22"/>
                <w:szCs w:val="22"/>
                <w:rFonts w:ascii="Calibri" w:cs="Calibri" w:eastAsia="Calibri" w:hAnsi="Calibri"/>
              </w:rPr>
              <w:t xml:space="preserve">Evaluation of the UNICEF's response to the Level 2 Emergency for drought/nutritional crises response in Southern Madagascar</w:t>
            </w:r>
          </w:p>
          <w:p>
            <w:pPr>
              <w:spacing w:after="120"/>
            </w:pPr>
            <w:r>
              <w:rPr>
                <w:color w:val="000000"/>
                <w:sz w:val="22"/>
                <w:szCs w:val="22"/>
                <w:rFonts w:ascii="Calibri" w:cs="Calibri" w:eastAsia="Calibri" w:hAnsi="Calibri"/>
              </w:rPr>
              <w:t xml:space="preserve">MSF global evaluation on COVID-19 in humanitarian settings assessing operational readiness, preparedness and response, innovative health care models in case study countries like India, Afghanistan, Bangladesh and CAR</w:t>
            </w:r>
          </w:p>
          <w:p>
            <w:pPr>
              <w:spacing w:after="120"/>
            </w:pPr>
            <w:r>
              <w:rPr>
                <w:color w:val="000000"/>
                <w:sz w:val="22"/>
                <w:szCs w:val="22"/>
                <w:rFonts w:ascii="Calibri" w:cs="Calibri" w:eastAsia="Calibri" w:hAnsi="Calibri"/>
              </w:rPr>
              <w:t xml:space="preserve">WHO Comprehensive Abortion and Family Planning guidelines</w:t>
            </w:r>
          </w:p>
          <w:p>
            <w:pPr>
              <w:spacing w:after="120"/>
            </w:pPr>
            <w:r>
              <w:rPr>
                <w:color w:val="000000"/>
                <w:sz w:val="22"/>
                <w:szCs w:val="22"/>
                <w:rFonts w:ascii="Calibri" w:cs="Calibri" w:eastAsia="Calibri" w:hAnsi="Calibri"/>
              </w:rPr>
              <w:t xml:space="preserve">Real-time Evaluation of the UN-HCR's response to the Level 3 Emergency in Afghanistan assessing refugee and IDP protection and solutions programming</w:t>
            </w:r>
          </w:p>
          <w:p>
            <w:pPr>
              <w:spacing w:after="120"/>
            </w:pPr>
            <w:r>
              <w:rPr>
                <w:color w:val="000000"/>
                <w:sz w:val="22"/>
                <w:szCs w:val="22"/>
                <w:rFonts w:ascii="Calibri" w:cs="Calibri" w:eastAsia="Calibri" w:hAnsi="Calibri"/>
              </w:rPr>
              <w:t xml:space="preserve">Real-time Evaluation of the UN-HCR's response to the Level 3 Emergency in Ethiopia assessing refugee and IDP protection and solutions programming</w:t>
            </w:r>
          </w:p>
          <w:p>
            <w:pPr>
              <w:spacing w:after="120"/>
            </w:pPr>
            <w:r>
              <w:rPr>
                <w:color w:val="000000"/>
                <w:sz w:val="22"/>
                <w:szCs w:val="22"/>
                <w:rFonts w:ascii="Calibri" w:cs="Calibri" w:eastAsia="Calibri" w:hAnsi="Calibri"/>
              </w:rPr>
              <w:t xml:space="preserve">Final Evaluation of the READY program: global readiness for major disease outbreak response, September 2018-March 2022</w:t>
            </w:r>
          </w:p>
          <w:p>
            <w:pPr>
              <w:spacing w:after="120"/>
            </w:pPr>
            <w:r>
              <w:rPr>
                <w:color w:val="000000"/>
                <w:sz w:val="22"/>
                <w:szCs w:val="22"/>
                <w:rFonts w:ascii="Calibri" w:cs="Calibri" w:eastAsia="Calibri" w:hAnsi="Calibri"/>
              </w:rPr>
              <w:t xml:space="preserve">Evaluation of UNHCR'S Response to the 2019/20 Level 3 IDP Emergency in the Democratic Republic of Congo, 2019</w:t>
            </w:r>
          </w:p>
          <w:p>
            <w:pPr>
              <w:spacing w:after="120"/>
            </w:pPr>
            <w:r>
              <w:rPr>
                <w:color w:val="000000"/>
                <w:sz w:val="22"/>
                <w:szCs w:val="22"/>
                <w:rFonts w:ascii="Calibri" w:cs="Calibri" w:eastAsia="Calibri" w:hAnsi="Calibri"/>
              </w:rPr>
              <w:t xml:space="preserve">Evaluation of the UNHCR program "Saving Maternal and Newborn Lives in Refugee Situations" in Cameroon, Chad and Niger</w:t>
            </w:r>
          </w:p>
          <w:p>
            <w:pPr>
              <w:spacing w:after="120"/>
            </w:pPr>
            <w:r>
              <w:rPr>
                <w:color w:val="000000"/>
                <w:sz w:val="22"/>
                <w:szCs w:val="22"/>
                <w:rFonts w:ascii="Calibri" w:cs="Calibri" w:eastAsia="Calibri" w:hAnsi="Calibri"/>
              </w:rPr>
              <w:t xml:space="preserve">Final evaluation of the GHC/WHO Health cluster Sexual and Reproductive health program in Level 3 emergencies in Yemen, Cox's Bazar and DR-Congo</w:t>
            </w:r>
          </w:p>
          <w:p>
            <w:pPr>
              <w:spacing w:after="120"/>
            </w:pPr>
            <w:r>
              <w:rPr>
                <w:color w:val="000000"/>
                <w:sz w:val="22"/>
                <w:szCs w:val="22"/>
                <w:rFonts w:ascii="Calibri" w:cs="Calibri" w:eastAsia="Calibri" w:hAnsi="Calibri"/>
              </w:rPr>
              <w:t xml:space="preserve">Evaluation of the Gavi 'Fragility, Emergencies and Refugees (FER) Policy'</w:t>
            </w:r>
          </w:p>
          <w:p>
            <w:pPr>
              <w:spacing w:after="120"/>
            </w:pPr>
            <w:r>
              <w:rPr>
                <w:color w:val="000000"/>
                <w:sz w:val="22"/>
                <w:szCs w:val="22"/>
                <w:rFonts w:ascii="Calibri" w:cs="Calibri" w:eastAsia="Calibri" w:hAnsi="Calibri"/>
              </w:rPr>
              <w:t xml:space="preserve">De Clerck V, et.al., 'OCB Ebola Review Medico-Operational report'</w:t>
            </w:r>
          </w:p>
          <w:p>
            <w:pPr>
              <w:spacing w:after="120"/>
            </w:pPr>
            <w:r>
              <w:rPr>
                <w:color w:val="000000"/>
                <w:sz w:val="22"/>
                <w:szCs w:val="22"/>
                <w:rFonts w:ascii="Calibri" w:cs="Calibri" w:eastAsia="Calibri" w:hAnsi="Calibri"/>
              </w:rPr>
              <w:t xml:space="preserve">Endline point evaluation of the UK Public Health Rapid Support Team</w:t>
            </w:r>
          </w:p>
          <w:p>
            <w:pPr>
              <w:spacing w:after="120"/>
            </w:pPr>
            <w:r>
              <w:rPr>
                <w:color w:val="000000"/>
                <w:sz w:val="22"/>
                <w:szCs w:val="22"/>
                <w:rFonts w:ascii="Calibri" w:cs="Calibri" w:eastAsia="Calibri" w:hAnsi="Calibri"/>
              </w:rPr>
              <w:t xml:space="preserve">Mid-point evaluation of the UK Public Health Rapid Support Team</w:t>
            </w:r>
          </w:p>
          <w:p>
            <w:pPr>
              <w:spacing w:after="120"/>
            </w:pPr>
            <w:r>
              <w:rPr>
                <w:color w:val="000000"/>
                <w:sz w:val="22"/>
                <w:szCs w:val="22"/>
                <w:rFonts w:ascii="Calibri" w:cs="Calibri" w:eastAsia="Calibri" w:hAnsi="Calibri"/>
              </w:rPr>
              <w:t xml:space="preserve">De Clerck V, et.al., 'OCB Ebola Review Summary report'</w:t>
            </w:r>
          </w:p>
          <w:p>
            <w:pPr>
              <w:spacing w:after="120"/>
            </w:pPr>
            <w:r>
              <w:rPr>
                <w:color w:val="000000"/>
                <w:sz w:val="22"/>
                <w:szCs w:val="22"/>
                <w:rFonts w:ascii="Calibri" w:cs="Calibri" w:eastAsia="Calibri" w:hAnsi="Calibri"/>
              </w:rPr>
              <w:t xml:space="preserve">Schwerdtle P, De Clerck V &amp; Plummer V, 'The experience of Ebola survivors: Causes of distress and coping mechanisms: A qualitative study in Liberia and Sierra Leone'</w:t>
            </w:r>
          </w:p>
          <w:p>
            <w:pPr>
              <w:spacing w:after="120"/>
            </w:pPr>
            <w:r>
              <w:rPr>
                <w:color w:val="000000"/>
                <w:sz w:val="22"/>
                <w:szCs w:val="22"/>
                <w:rFonts w:ascii="Calibri" w:cs="Calibri" w:eastAsia="Calibri" w:hAnsi="Calibri"/>
              </w:rPr>
              <w:t xml:space="preserve">Schwerdtle P., De Clerck V., Plummer V., 'A thematic analysis of survivors' perceptions of public health messages during an Ebola crisis in Liberia and Sierra Leone'</w:t>
            </w:r>
          </w:p>
          <w:p>
            <w:pPr>
              <w:spacing w:after="120"/>
            </w:pPr>
            <w:r>
              <w:rPr>
                <w:color w:val="000000"/>
                <w:sz w:val="22"/>
                <w:szCs w:val="22"/>
                <w:rFonts w:ascii="Calibri" w:cs="Calibri" w:eastAsia="Calibri" w:hAnsi="Calibri"/>
              </w:rPr>
              <w:t xml:space="preserve">Salse N., Swarthout T., De Clerck V., et. al., 'Effectiveness of nutritional supplementation (ready-to-use therapeutic food and multi micronutrient) in preventing malnutrition in children 6-59 months with infection (malaria, pneumonia, diarrhoea) in Uganda', 2013</w:t>
            </w:r>
          </w:p>
          <w:p>
            <w:pPr>
              <w:spacing w:after="120"/>
            </w:pPr>
            <w:r>
              <w:rPr>
                <w:color w:val="000000"/>
                <w:sz w:val="22"/>
                <w:szCs w:val="22"/>
                <w:rFonts w:ascii="Calibri" w:cs="Calibri" w:eastAsia="Calibri" w:hAnsi="Calibri"/>
              </w:rPr>
              <w:t xml:space="preserve">De Clerck V, 'A review on Aspirin in pregnancy', VLOV Tijdschrift voor vroedvrouwen, 1998</w:t>
            </w:r>
          </w:p>
          <w:p>
            <w:pPr>
              <w:spacing w:after="120"/>
            </w:pPr>
            <w:r>
              <w:rPr>
                <w:color w:val="000000"/>
                <w:sz w:val="22"/>
                <w:szCs w:val="22"/>
                <w:rFonts w:ascii="Calibri" w:cs="Calibri" w:eastAsia="Calibri" w:hAnsi="Calibri"/>
              </w:rPr>
              <w:t xml:space="preserve">De Clerck V, Cited in BMJ 2011; 342: d2590 "Using artesunate not quinine to treat severe malaria"</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Not specified</dc:title>
  <dc:creator>IOD PARC CV Generator</dc:creator>
  <cp:lastModifiedBy>Un-named</cp:lastModifiedBy>
  <cp:revision>1</cp:revision>
  <dcterms:created xsi:type="dcterms:W3CDTF">2025-05-30T19:45:08.605Z</dcterms:created>
  <dcterms:modified xsi:type="dcterms:W3CDTF">2025-05-30T19:45:08.605Z</dcterms:modified>
</cp:coreProperties>
</file>

<file path=docProps/custom.xml><?xml version="1.0" encoding="utf-8"?>
<Properties xmlns="http://schemas.openxmlformats.org/officeDocument/2006/custom-properties" xmlns:vt="http://schemas.openxmlformats.org/officeDocument/2006/docPropsVTypes"/>
</file>