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media/rId12.jpg" ContentType="image/jpeg"/>
  <Override PartName="/word/media/rId9.png" ContentType="image/png"/>
  <Override PartName="/word/media/logo_upt.png" ContentType="image/png"/>
  <Default Extension="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Caratula"/>
      </w:pPr>
      <w:r>
        <w:drawing>
          <wp:inline>
            <wp:extent cx="791999" cy="791999"/>
            <wp:effectExtent b="0" l="0" r="0" t="0"/>
            <wp:docPr descr="" title="" id="10" name="Picture"/>
            <a:graphic>
              <a:graphicData uri="http://schemas.openxmlformats.org/drawingml/2006/picture">
                <pic:pic>
                  <pic:nvPicPr>
                    <pic:cNvPr descr="/Users/ojimenez/Documents/UPT_CURSOS/logo_universidad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1999" cy="791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755999" cy="789556"/>
            <wp:effectExtent b="0" l="0" r="0" t="0"/>
            <wp:docPr descr="" title="" id="13" name="Picture"/>
            <a:graphic>
              <a:graphicData uri="http://schemas.openxmlformats.org/drawingml/2006/picture">
                <pic:pic>
                  <pic:nvPicPr>
                    <pic:cNvPr descr="/Users/ojimenez/Documents/UPT_CURSOS/logo_escuela_sistemas.jpeg" id="14" name="Picture"/>
                    <pic:cNvPicPr>
                      <a:picLocks noChangeArrowheads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5999" cy="7895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aratulaInstitucion"/>
      </w:pPr>
      <w:r>
        <w:t xml:space="preserve">UNIVERSIDAD PRIVADA DE TACNA</w:t>
      </w:r>
    </w:p>
    <w:p>
      <w:pPr>
        <w:pStyle w:val="CaratulaInstitucion"/>
      </w:pPr>
      <w:r>
        <w:t xml:space="preserve">FACULTAD DE INGENIERÍA</w:t>
      </w:r>
    </w:p>
    <w:p>
      <w:pPr>
        <w:pStyle w:val="CaratulaInstitucion"/>
      </w:pPr>
      <w:r>
        <w:t xml:space="preserve">ESCUELA PROFESIONAL DE INGENIERÍA DE SISTEMAS</w:t>
      </w:r>
    </w:p>
    <w:p>
      <w:pPr>
        <w:pStyle w:val="CaratulaTitulo"/>
      </w:pPr>
      <w:r>
        <w:t>INFORME DE LABORATORIO N.º 04</w:t>
      </w:r>
    </w:p>
    <w:p>
      <w:pPr>
        <w:pStyle w:val="CaratulaCurso"/>
      </w:pPr>
      <w:r>
        <w:t xml:space="preserve">AUDITORÍA DE SISTEMAS · SI-084</w:t>
      </w:r>
    </w:p>
    <w:p>
      <w:pPr>
        <w:pStyle w:val="CaratulaEtiqueta"/>
      </w:pPr>
      <w:r>
        <w:t>Auditoría de configuración segura con Lynis, OpenSCAP, Docker Bench y Trivy</w:t>
      </w:r>
    </w:p>
    <w:p>
      <w:pPr>
        <w:pStyle w:val="CaratulaLinea"/>
      </w:pPr>
      <w:r>
        <w:t xml:space="preserve"> </w:t>
      </w:r>
    </w:p>
    <w:p>
      <w:pPr>
        <w:pStyle w:val="CaratulaEtiqueta"/>
      </w:pPr>
      <w:r>
        <w:t>Semana N.º 04 · Unidad I · Grupo N.º COLQUE</w:t>
      </w:r>
    </w:p>
    <w:p>
      <w:pPr>
        <w:pStyle w:val="CaratulaLinea"/>
      </w:pPr>
      <w:r>
        <w:t xml:space="preserve"> </w:t>
      </w:r>
    </w:p>
    <w:p>
      <w:pPr>
        <w:pStyle w:val="CaratulaEtiqueta"/>
      </w:pPr>
      <w:r>
        <w:t xml:space="preserve">Integrantes</w:t>
      </w:r>
    </w:p>
    <w:p>
      <w:r>
        <w:t>SERGIO COLQUE PONCE · Código: 2022073503</w:t>
      </w:r>
    </w:p>
    <w:p>
      <w:pPr>
        <w:pStyle w:val="CaratulaLinea"/>
      </w:pPr>
      <w:r>
        <w:t xml:space="preserve"> </w:t>
      </w:r>
    </w:p>
    <w:p>
      <w:pPr>
        <w:pStyle w:val="CaratulaLinea"/>
      </w:pPr>
      <w:r>
        <w:t xml:space="preserve"> </w:t>
      </w:r>
    </w:p>
    <w:p>
      <w:pPr>
        <w:pStyle w:val="CaratulaLinea"/>
      </w:pPr>
      <w:r>
        <w:t xml:space="preserve"> </w:t>
      </w:r>
    </w:p>
    <w:p>
      <w:pPr>
        <w:pStyle w:val="CaratulaLinea"/>
      </w:pPr>
      <w:r>
        <w:t xml:space="preserve"> </w:t>
      </w:r>
    </w:p>
    <w:p>
      <w:pPr>
        <w:pStyle w:val="CaratulaEtiqueta"/>
      </w:pPr>
      <w:r>
        <w:t xml:space="preserve">Docente</w:t>
      </w:r>
    </w:p>
    <w:p>
      <w:pPr>
        <w:pStyle w:val="CaratulaLinea"/>
      </w:pPr>
      <w:r>
        <w:t xml:space="preserve">Dr. Oscar Juan Jimenez Flores</w:t>
      </w:r>
    </w:p>
    <w:p>
      <w:pPr>
        <w:pStyle w:val="CaratulaPie"/>
      </w:pPr>
      <w:r>
        <w:t xml:space="preserve">Tacna, Perú</w:t>
      </w:r>
    </w:p>
    <w:p>
      <w:r>
        <w:br w:type="page"/>
      </w:r>
    </w:p>
    <w:p>
      <w:pPr>
        <w:pStyle w:val="Heading1"/>
      </w:pPr>
      <w:r>
        <w:t>Índice</w:t>
      </w:r>
    </w:p>
    <w:p>
      <w:pPr>
        <w:pStyle w:val="TOC1"/>
      </w:pPr>
      <w:r>
        <w:t>Actualice este índice en Word antes de exportar el PDF.</w:t>
      </w:r>
    </w:p>
    ```
    ```{=openxml}
    <w:p>
      <w:r>
        <w:br w:type="page"/>
      </w:r>
    </w:p>
    <w:bookmarkStart w:id="15" w:name="cómo-se-usa-esta-plantilla"/>
    <w:bookmarkEnd w:id="15"/>
    <w:bookmarkStart w:id="22" w:name="información-sobre-el-evento-práctico"/>
    <w:p>
      <w:pPr>
        <w:pStyle w:val="Heading1"/>
      </w:pPr>
      <w:r>
        <w:t xml:space="preserve">1. Información sobre el evento práctico</w:t>
      </w:r>
    </w:p>
    <w:bookmarkStart w:id="16" w:name="título-del-evento-práctico"/>
    <w:p>
      <w:pPr>
        <w:pStyle w:val="Heading2"/>
      </w:pPr>
      <w:r>
        <w:t xml:space="preserve">1.1 Título del evento práctico</w:t>
      </w:r>
    </w:p>
    <w:p>
      <w:pPr>
        <w:pStyle w:val="FirstParagraph"/>
      </w:pPr>
      <w:r>
        <w:t>Evaluación automatizada de controles generales de TI mediante herramientas libres de auditoría de configuración, contrastando evidencia técnica con CIS Benchmarks, ISO/IEC 27001:2022 y COBIT 2019.</w:t>
      </w:r>
    </w:p>
    <w:bookmarkEnd w:id="16"/>
    <w:bookmarkStart w:id="17" w:name="objetivos"/>
    <w:p>
      <w:pPr>
        <w:pStyle w:val="Heading2"/>
      </w:pPr>
      <w:r>
        <w:t xml:space="preserve">1.2 Objetivos</w:t>
      </w:r>
    </w:p>
    <w:p>
      <w:pPr>
        <w:pStyle w:val="FirstParagraph"/>
      </w:pPr>
      <w:r>
        <w:t>• Auditar el endurecimiento con Lynis y el cumplimiento formal con OpenSCAP.</w:t>
      </w:r>
    </w:p>
    <w:p>
      <w:pPr>
        <w:pStyle w:val="FirstParagraph"/>
      </w:pPr>
      <w:r>
        <w:t>• Revisar el plano de contenedores mediante Docker Bench for Security.</w:t>
      </w:r>
    </w:p>
    <w:p>
      <w:pPr>
        <w:pStyle w:val="FirstParagraph"/>
      </w:pPr>
      <w:r>
        <w:t>• Identificar vulnerabilidades, configuraciones IaC, secretos y componentes mediante Trivy.</w:t>
      </w:r>
    </w:p>
    <w:p>
      <w:pPr>
        <w:pStyle w:val="FirstParagraph"/>
      </w:pPr>
      <w:r>
        <w:t>• Consolidar y validar una matriz mapeada a ISO/IEC 27001:2022 y COBIT 2019.</w:t>
      </w:r>
    </w:p>
    <w:p>
      <w:pPr>
        <w:pStyle w:val="FirstParagraph"/>
      </w:pPr>
      <w:r>
        <w:t>• Diferenciar una deficiencia de diseño de una de eficacia operativa.</w:t>
      </w:r>
    </w:p>
    <w:bookmarkEnd w:id="17"/>
    <w:bookmarkStart w:id="18" w:name="tiempo-de-duración"/>
    <w:p>
      <w:pPr>
        <w:pStyle w:val="Heading2"/>
      </w:pPr>
      <w:r>
        <w:t xml:space="preserve">1.3 Tiempo de duración</w:t>
      </w:r>
    </w:p>
    <w:p>
      <w:pPr>
        <w:pStyle w:val="FirstParagraph"/>
      </w:pPr>
      <w:r>
        <w:t>100 minutos de laboratorio guiado y tiempo adicional de descarga, revisión y documentación.</w:t>
      </w:r>
    </w:p>
    <w:bookmarkEnd w:id="18"/>
    <w:bookmarkStart w:id="19" w:name="resultados-de-aprendizaje"/>
    <w:p>
      <w:pPr>
        <w:pStyle w:val="Heading2"/>
      </w:pPr>
      <w:r>
        <w:t xml:space="preserve">1.4 Resultados de aprendizaje</w:t>
      </w:r>
    </w:p>
    <w:p>
      <w:pPr>
        <w:pStyle w:val="FirstParagraph"/>
      </w:pPr>
      <w:r>
        <w:t>RA1: analiza e interpreta conceptos y terminología de Auditoría de Sistemas.</w:t>
      </w:r>
    </w:p>
    <w:p>
      <w:pPr>
        <w:pStyle w:val="FirstParagraph"/>
      </w:pPr>
      <w:r>
        <w:t>RA2: evalúa la seguridad de la información en Auditoría de Sistemas.</w:t>
      </w:r>
    </w:p>
    <w:bookmarkEnd w:id="19"/>
    <w:bookmarkStart w:id="20" w:name="recursos"/>
    <w:p>
      <w:pPr>
        <w:pStyle w:val="Heading2"/>
      </w:pPr>
      <w:r>
        <w:t xml:space="preserve">1.5 Recursos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Recurso</w:t>
            </w:r>
          </w:p>
        </w:tc>
        <w:tc>
          <w:tcPr/>
          <w:p>
            <w:pPr>
              <w:pStyle w:val="Compact"/>
            </w:pPr>
            <w:r>
              <w:t xml:space="preserve">Versión</w:t>
            </w:r>
          </w:p>
        </w:tc>
        <w:tc>
          <w:tcPr/>
          <w:p>
            <w:pPr>
              <w:pStyle w:val="Compact"/>
            </w:pPr>
            <w:r>
              <w:t xml:space="preserve">Para qué se usó</w:t>
            </w:r>
          </w:p>
        </w:tc>
      </w:tr>
      <w:tr>
        <w:tc>
          <w:tcPr/>
          <w:p>
            <w:r>
              <w:t>Docker Desktop y Docker Compose</w:t>
            </w:r>
          </w:p>
        </w:tc>
        <w:tc>
          <w:tcPr/>
          <w:p>
            <w:r>
              <w:t>Cliente y motor 28.0.4</w:t>
            </w:r>
          </w:p>
        </w:tc>
        <w:tc>
          <w:tcPr/>
          <w:p>
            <w:r>
              <w:t>Entorno local y acceso a contenedores</w:t>
            </w:r>
          </w:p>
        </w:tc>
      </w:tr>
      <w:tr>
        <w:tc>
          <w:tcPr/>
          <w:p>
            <w:r>
              <w:t>Lynis, OpenSCAP y Docker Bench</w:t>
            </w:r>
          </w:p>
        </w:tc>
        <w:tc>
          <w:tcPr/>
          <w:p>
            <w:r>
              <w:t>Lynis oficial; ComplianceAsCode 0.1.77</w:t>
            </w:r>
          </w:p>
        </w:tc>
        <w:tc>
          <w:tcPr/>
          <w:p>
            <w:r>
              <w:t>Auditoría de configuración y cumplimiento</w:t>
            </w:r>
          </w:p>
        </w:tc>
      </w:tr>
      <w:tr>
        <w:tc>
          <w:tcPr/>
          <w:p>
            <w:r>
              <w:t>Trivy y Python</w:t>
            </w:r>
          </w:p>
        </w:tc>
        <w:tc>
          <w:tcPr/>
          <w:p>
            <w:r>
              <w:t>Trivy latest; Python 3.11</w:t>
            </w:r>
          </w:p>
        </w:tc>
        <w:tc>
          <w:tcPr/>
          <w:p>
            <w:r>
              <w:t>Escaneo, SBOM, consolidación y validación</w:t>
            </w:r>
          </w:p>
        </w:tc>
      </w:tr>
    </w:tbl>
    <w:bookmarkEnd w:id="20"/>
    <w:bookmarkStart w:id="21" w:name="seguridad"/>
    <w:p>
      <w:pPr>
        <w:pStyle w:val="Heading2"/>
      </w:pPr>
      <w:r>
        <w:t xml:space="preserve">1.6 Seguridad</w:t>
      </w:r>
    </w:p>
    <w:p>
      <w:pPr>
        <w:pStyle w:val="FirstParagraph"/>
      </w:pPr>
      <w:r>
        <w:t>La auditoría se limitó al equipo propio y al entorno Docker local si084-lab. No se analizaron equipos del campus ni sistemas de terceros. Los originales confidenciales se conservaron fuera de Git y la versión publicable fue saneada antes de su registro.</w:t>
      </w:r>
    </w:p>
    <w:bookmarkEnd w:id="21"/>
    <w:bookmarkEnd w:id="22"/>
    <w:bookmarkStart w:id="26" w:name="procedimiento-o-metodología"/>
    <w:p>
      <w:pPr>
        <w:pStyle w:val="Heading1"/>
      </w:pPr>
      <w:r>
        <w:t xml:space="preserve">2. Procedimiento o metodología</w:t>
      </w:r>
    </w:p>
    <w:p>
      <w:pPr>
        <w:pStyle w:val="FirstParagraph"/>
      </w:pPr>
      <w:r>
        <w:t>Se ejecutaron cuatro herramientas con un guion reproducible, se conservaron sus salidas primarias, se consolidaron 294 registros y se validó cada asociación normativa. Las URL de la etiqueta taller-04 permiten rastrear los resultados hasta su evidencia.</w:t>
      </w:r>
    </w:p>
    <w:bookmarkStart w:id="23" w:name="paso-a"/>
    <w:p>
      <w:pPr>
        <w:pStyle w:val="Heading2"/>
      </w:pPr>
      <w:r>
        <w:t>Paso A — Auditoría del sistema con Lynis</w:t>
      </w:r>
    </w:p>
    <w:p>
      <w:pPr>
        <w:pStyle w:val="FirstParagraph"/>
      </w:pPr>
      <w:r>
        <w:t>Al no estar disponible cisofy/lynis:latest, se construyó si084/lynis:official desde el repositorio oficial CISOfy/lynis-docker. El reporte obtuvo un índice de endurecimiento 53 y 28 sugerencias; se priorizaron AUTH-9262, FIRE-4590 y ACCT-9628.</w:t>
      </w:r>
    </w:p>
    <w:bookmarkEnd w:id="23"/>
    <w:bookmarkStart w:id="24" w:name="paso-b"/>
    <w:p>
      <w:pPr>
        <w:pStyle w:val="Heading2"/>
      </w:pPr>
      <w:r>
        <w:t>Paso B — Evaluación formal con OpenSCAP</w:t>
      </w:r>
    </w:p>
    <w:p>
      <w:pPr>
        <w:pStyle w:val="FirstParagraph"/>
      </w:pPr>
      <w:r>
        <w:t>Se evaluó el perfil CIS Level 1 Server con el data stream oficial de Ubuntu 22.04 de ComplianceAsCode 0.1.77. Hubo 15 reglas fallidas de severidad Media y ninguna Alta.</w:t>
      </w:r>
    </w:p>
    <w:bookmarkEnd w:id="24"/>
    <w:bookmarkStart w:id="25" w:name="paso-c"/>
    <w:p>
      <w:pPr>
        <w:pStyle w:val="Heading2"/>
      </w:pPr>
      <w:r>
        <w:t>Paso C — Revisión CIS de Docker</w:t>
      </w:r>
    </w:p>
    <w:p>
      <w:pPr>
        <w:pStyle w:val="FirstParagraph"/>
      </w:pPr>
      <w:r>
        <w:t>Docker Bench inspeccionó siete contenedores y generó 105 advertencias. En las secciones 4 y 5 se observaron ejecución como root, sistemas raíz escribibles y ausencia de límites y healthchecks.</w:t>
      </w:r>
    </w:p>
    <w:bookmarkEnd w:id="25"/>
    <w:bookmarkEnd w:id="26"/>
    <w:bookmarkStart w:id="27" w:name="resultados"/>
    <w:p>
      <w:pPr>
        <w:pStyle w:val="Heading2"/>
      </w:pPr>
      <w:r>
        <w:t>Paso D — Vulnerabilidades, IaC, secretos y SBOM con Trivy</w:t>
      </w:r>
    </w:p>
    <w:p>
      <w:pPr>
        <w:pStyle w:val="FirstParagraph"/>
      </w:pPr>
      <w:r>
        <w:t>Se analizaron cuatro imágenes, la carpeta entorno, los secretos del repositorio y un SBOM CycloneDX. Se obtuvieron 141 vulnerabilidades —8 críticas y 133 altas— y 5 detecciones de secretos con sus valores omitidos en la versión publicable.</w:t>
      </w:r>
    </w:p>
    <w:p>
      <w:pPr>
        <w:pStyle w:val="Heading2"/>
      </w:pPr>
      <w:r>
        <w:t>Paso E — Consolidación, validación y sellado</w:t>
      </w:r>
    </w:p>
    <w:p>
      <w:pPr>
        <w:pStyle w:val="FirstParagraph"/>
      </w:pPr>
      <w:r>
        <w:t>PT04_matriz_control.py consolidó 294 registros: Docker Bench 105, Lynis 28, OpenSCAP 15, Trivy 141 y Trivy Secret 5. La revisión final dejó 0 hallazgos sin clasificar (0,0 %) y los artefactos se sellaron con SHA-256.</w:t>
      </w:r>
    </w:p>
    <w:p>
      <w:pPr>
        <w:pStyle w:val="Heading1"/>
      </w:pPr>
      <w:r>
        <w:t xml:space="preserve">3. Resultados</w:t>
      </w:r>
    </w:p>
    <w:p>
      <w:pPr>
        <w:pStyle w:val="FirstParagraph"/>
      </w:pPr>
      <w:r>
        <w:t>La versión verificable se encuentra en https://github.com/srg-cp/SI084-LAB-01/tree/taller-04. El índice de evidencias está en docs/evidencias/S04/README.md.</w:t>
      </w:r>
    </w:p>
    <w:p>
      <w:pPr>
        <w:pStyle w:val="FirstParagraph"/>
      </w:pPr>
      <w:r>
        <w:t>El control A.8.6 se clasificó como deficiencia de diseño: la IaC no define límites de memoria, CPU o PID ni healthchecks, y Docker Bench confirmó la misma ausencia en ejecución.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Resultado esperado</w:t>
            </w:r>
          </w:p>
        </w:tc>
        <w:tc>
          <w:tcPr/>
          <w:p>
            <w:pPr>
              <w:pStyle w:val="Compact"/>
            </w:pPr>
            <w:r>
              <w:t xml:space="preserve">¿Se logró?</w:t>
            </w:r>
          </w:p>
        </w:tc>
        <w:tc>
          <w:tcPr/>
          <w:p>
            <w:pPr>
              <w:pStyle w:val="Compact"/>
            </w:pPr>
            <w:r>
              <w:t xml:space="preserve">Evidencia</w:t>
            </w:r>
          </w:p>
        </w:tc>
      </w:tr>
      <w:tr>
        <w:tc>
          <w:tcPr/>
          <w:p>
            <w:r>
              <w:t>1</w:t>
            </w:r>
          </w:p>
        </w:tc>
        <w:tc>
          <w:tcPr/>
          <w:p>
            <w:r>
              <w:t>Lynis con índice y tres observaciones priorizadas</w:t>
            </w:r>
          </w:p>
        </w:tc>
        <w:tc>
          <w:tcPr/>
          <w:p>
            <w:r>
              <w:t>Logrado</w:t>
            </w:r>
          </w:p>
        </w:tc>
        <w:tc>
          <w:tcPr/>
          <w:p>
            <w:r>
              <w:t>Índice 53; captura 02 y lynis-report.dat</w:t>
            </w:r>
          </w:p>
        </w:tc>
      </w:tr>
      <w:tr>
        <w:tc>
          <w:tcPr/>
          <w:p>
            <w:r>
              <w:t>2</w:t>
            </w:r>
          </w:p>
        </w:tc>
        <w:tc>
          <w:tcPr/>
          <w:p>
            <w:r>
              <w:t>OpenSCAP con perfil y reglas XCCDF</w:t>
            </w:r>
          </w:p>
        </w:tc>
        <w:tc>
          <w:tcPr/>
          <w:p>
            <w:r>
              <w:t>Logrado con limitación</w:t>
            </w:r>
          </w:p>
        </w:tc>
        <w:tc>
          <w:tcPr/>
          <w:p>
            <w:r>
              <w:t>15 fallos Medios; 0 Altos; captura 03</w:t>
            </w:r>
          </w:p>
        </w:tc>
      </w:tr>
      <w:tr>
        <w:tc>
          <w:tcPr/>
          <w:p>
            <w:r>
              <w:t>3</w:t>
            </w:r>
          </w:p>
        </w:tc>
        <w:tc>
          <w:tcPr/>
          <w:p>
            <w:r>
              <w:t>Docker Bench, conteo y secciones 4–5</w:t>
            </w:r>
          </w:p>
        </w:tc>
        <w:tc>
          <w:tcPr/>
          <w:p>
            <w:r>
              <w:t>Logrado</w:t>
            </w:r>
          </w:p>
        </w:tc>
        <w:tc>
          <w:tcPr/>
          <w:p>
            <w:r>
              <w:t>105 WARN; captura 04 y docker-bench.log</w:t>
            </w:r>
          </w:p>
        </w:tc>
      </w:tr>
      <w:tr>
        <w:tc>
          <w:tcPr/>
          <w:p>
            <w:r>
              <w:t>4</w:t>
            </w:r>
          </w:p>
        </w:tc>
        <w:tc>
          <w:tcPr/>
          <w:p>
            <w:r>
              <w:t>Trivy: imágenes, IaC, secretos y SBOM</w:t>
            </w:r>
          </w:p>
        </w:tc>
        <w:tc>
          <w:tcPr/>
          <w:p>
            <w:r>
              <w:t>Logrado</w:t>
            </w:r>
          </w:p>
        </w:tc>
        <w:tc>
          <w:tcPr/>
          <w:p>
            <w:r>
              <w:t>141 vulnerabilidades, 5 secretos redactados; captura 05</w:t>
            </w:r>
          </w:p>
        </w:tc>
      </w:tr>
      <w:tr>
        <w:tc>
          <w:tcPr/>
          <w:p>
            <w:r>
              <w:t>5</w:t>
            </w:r>
          </w:p>
        </w:tc>
        <w:tc>
          <w:tcPr/>
          <w:p>
            <w:r>
              <w:t>Matriz única ISO/IEC 27001 y COBIT 2019</w:t>
            </w:r>
          </w:p>
        </w:tc>
        <w:tc>
          <w:tcPr/>
          <w:p>
            <w:r>
              <w:t>Logrado</w:t>
            </w:r>
          </w:p>
        </w:tc>
        <w:tc>
          <w:tcPr/>
          <w:p>
            <w:r>
              <w:t>294 registros en PT04_matriz_control.csv</w:t>
            </w:r>
          </w:p>
        </w:tc>
      </w:tr>
      <w:tr>
        <w:tc>
          <w:tcPr/>
          <w:p>
            <w:r>
              <w:t>6</w:t>
            </w:r>
          </w:p>
        </w:tc>
        <w:tc>
          <w:tcPr/>
          <w:p>
            <w:r>
              <w:t>Menos de 20 % sin clasificar</w:t>
            </w:r>
          </w:p>
        </w:tc>
        <w:tc>
          <w:tcPr/>
          <w:p>
            <w:r>
              <w:t>Logrado</w:t>
            </w:r>
          </w:p>
        </w:tc>
        <w:tc>
          <w:tcPr/>
          <w:p>
            <w:r>
              <w:t>0 de 294 (0,0 %); captura 06</w:t>
            </w:r>
          </w:p>
        </w:tc>
      </w:tr>
      <w:tr>
        <w:tc>
          <w:tcPr/>
          <w:p>
            <w:r>
              <w:t>7</w:t>
            </w:r>
          </w:p>
        </w:tc>
        <w:tc>
          <w:tcPr/>
          <w:p>
            <w:r>
              <w:t>Diseño frente a eficacia operativa</w:t>
            </w:r>
          </w:p>
        </w:tc>
        <w:tc>
          <w:tcPr/>
          <w:p>
            <w:r>
              <w:t>Logrado</w:t>
            </w:r>
          </w:p>
        </w:tc>
        <w:tc>
          <w:tcPr/>
          <w:p>
            <w:r>
              <w:t>A.8.6: deficiencia de diseño</w:t>
            </w:r>
          </w:p>
        </w:tc>
      </w:tr>
      <w:tr>
        <w:tc>
          <w:tcPr/>
          <w:p>
            <w:r>
              <w:t>8</w:t>
            </w:r>
          </w:p>
        </w:tc>
        <w:tc>
          <w:tcPr/>
          <w:p>
            <w:r>
              <w:t>Hashes, cadena de custodia y commit</w:t>
            </w:r>
          </w:p>
        </w:tc>
        <w:tc>
          <w:tcPr/>
          <w:p>
            <w:r>
              <w:t>Logrado localmente</w:t>
            </w:r>
          </w:p>
        </w:tc>
        <w:tc>
          <w:tcPr/>
          <w:p>
            <w:r>
              <w:t>SHA256SUMS_E04.txt y CADENA_DE_CUSTODIA.md</w:t>
            </w:r>
          </w:p>
        </w:tc>
      </w:tr>
    </w:tbl>
    <w:p>
      <w:pPr>
        <w:pStyle w:val="BodyText"/>
      </w:pPr>
      <w:r>
        <w:t>La imagen de Lynis indicada por la guía no estaba publicada y Ubuntu 22.04 no ofrecía ssg-debderived; se aplicaron alternativas oficiales y reproducibles. OpenSCAP produjo 15 fallos Medios y ningún fallo Alto, por lo que se documentó la limitación sin alterar la severidad. Antes de versionar se redactaron 51 elementos sensibles detectados por Trivy.</w:t>
      </w:r>
    </w:p>
    <w:bookmarkEnd w:id="27"/>
    <w:bookmarkStart w:id="28" w:name="conclusiones"/>
    <w:p>
      <w:pPr>
        <w:pStyle w:val="Heading1"/>
      </w:pPr>
      <w:r>
        <w:t xml:space="preserve">4. Conclusiones</w:t>
      </w:r>
    </w:p>
    <w:p>
      <w:pPr>
        <w:pStyle w:val="FirstParagraph"/>
      </w:pPr>
      <w:r>
        <w:t>1. La matriz única convirtió 294 registros técnicos heterogéneos en evidencia trazable contra ISO/IEC 27001:2022 y COBIT 2019.
2. La revisión manual corrigió asociaciones ambiguas y redujo a 0,0 % los hallazgos sin clasificar.
3. La ausencia de límites de recursos en la IaC y en ejecución demuestra una deficiencia de diseño de A.8.6, que exige construir el control antes de medir su eficacia.
4. Sanear secretos y datos del anfitrión antes de publicar forma parte de la custodia de evidencia.
5. Documentar que OpenSCAP no produjo fallos Altos conserva más valor probatorio que alterar el resultado.</w:t>
      </w:r>
    </w:p>
    <w:bookmarkEnd w:id="28"/>
    <w:bookmarkStart w:id="29" w:name="cuestionario"/>
    <w:p>
      <w:pPr>
        <w:pStyle w:val="Heading1"/>
      </w:pPr>
      <w:r>
        <w:t xml:space="preserve">5. Cuestionario</w:t>
      </w:r>
    </w:p>
    <w:p>
      <w:pPr>
        <w:pStyle w:val="FirstParagraph"/>
      </w:pPr>
      <w:r>
        <w:t>La guía del Taller 04 no presenta un cuestionario independiente. La pregunta de transferencia se responde así: una organización que no consolida ni valida los reportes puede priorizar duplicados, ignorar controles ausentes y exponer información sensible al publicar la evidencia sin saneamiento.</w:t>
      </w:r>
    </w:p>
    <w:bookmarkEnd w:id="29"/>
    <w:bookmarkStart w:id="30" w:name="referencias-bibliográficas"/>
    <w:p>
      <w:pPr>
        <w:pStyle w:val="Heading1"/>
      </w:pPr>
      <w:r>
        <w:t xml:space="preserve">6. Referencias bibliográficas</w:t>
      </w:r>
    </w:p>
    <w:p>
      <w:pPr>
        <w:pStyle w:val="FirstParagraph"/>
      </w:pPr>
      <w:r>
        <w:t>ISO. (2022). ISO/IEC 27001:2022. https://www.iso.org/standard/27001
ISO. (2022). ISO/IEC 27002:2022. https://www.iso.org/standard/75652.html
ISACA. (2018). COBIT 2019 Framework. https://www.isaca.org/resources/cobit
Center for Internet Security. CIS Benchmarks. https://www.cisecurity.org/cis-benchmarks
CISOfy. Lynis. https://cisofy.com/lynis/
OpenSCAP Project. https://www.open-scap.org/
ComplianceAsCode. https://github.com/ComplianceAsCode/content
Aqua Security. Trivy Documentation. https://trivy.dev/</w:t>
      </w:r>
    </w:p>
    <w:bookmarkEnd w:id="30"/>
    <w:bookmarkStart w:id="31" w:name="anexos"/>
    <w:p>
      <w:pPr>
        <w:pStyle w:val="Heading1"/>
      </w:pPr>
      <w:r>
        <w:t xml:space="preserve">7. Anexos</w:t>
      </w:r>
    </w:p>
    <w:p>
      <w:pPr>
        <w:pStyle w:val="FirstParagraph"/>
      </w:pPr>
      <w:r>
        <w:t>Anexo A — Reporte OpenSCAP HTML y XML.
Anexo B — Matriz consolidada PT04 con 294 registros.
Anexo C — SBOM CycloneDX de Juice Shop.
Anexo D — Análisis de diseño frente a eficacia operativa.
Anexo E — Capturas numeradas 01 a 06.
Anexo F — Hashes y cadena de custodia.
Etiqueta: https://github.com/srg-cp/SI084-LAB-01/tree/taller-04
Pull Request a develop: [COMPLETAR DESPUÉS DE PUBLICAR]</w:t>
      </w:r>
    </w:p>
    <w:bookmarkEnd w:id="31"/>
    <w:p>
      <w:r>
        <w:br w:type="page"/>
      </w:r>
    </w:p>
    <w:p>
      <w:pPr>
        <w:jc w:val="center"/>
      </w:pPr>
      <w:r>
        <w:t>Anexo E — Capturas numeradas</w:t>
      </w:r>
    </w:p>
    <w:p>
      <w:pPr>
        <w:jc w:val="center"/>
      </w:pPr>
      <w:r>
        <w:t>Figura 1. Entorno Docker si084-lab con siete contenedores operativos.</w:t>
      </w:r>
    </w:p>
    <w:p>
      <w:pPr>
        <w:jc w:val="center"/>
      </w:pPr>
      <w:r>
        <w:drawing>
          <wp:inline distT="0" distB="0" distL="0" distR="0">
            <wp:extent cx="5943600" cy="829122"/>
            <wp:docPr id="901" name="01_entorno_docker_operativo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entorno_docker_operativo.png"/>
                    <pic:cNvPicPr/>
                  </pic:nvPicPr>
                  <pic:blipFill>
                    <a:blip r:embed="rIdS04Image0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29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t>Fuente: evidencia obtenida durante la ejecución del Taller 04.</w:t>
      </w:r>
    </w:p>
    <w:p>
      <w:pPr>
        <w:jc w:val="center"/>
      </w:pPr>
      <w:r>
        <w:t>Figura 2. Índice de endurecimiento y sugerencias priorizadas de Lynis.</w:t>
      </w:r>
    </w:p>
    <w:p>
      <w:pPr>
        <w:jc w:val="center"/>
      </w:pPr>
      <w:r>
        <w:drawing>
          <wp:inline distT="0" distB="0" distL="0" distR="0">
            <wp:extent cx="5943600" cy="762000"/>
            <wp:docPr id="902" name="02_lynis_indice_y_sugerencias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lynis_indice_y_sugerencias.png"/>
                    <pic:cNvPicPr/>
                  </pic:nvPicPr>
                  <pic:blipFill>
                    <a:blip r:embed="rIdS04Image0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t>Fuente: evidencia obtenida durante la ejecución del Taller 04.</w:t>
      </w:r>
    </w:p>
    <w:p>
      <w:pPr>
        <w:jc w:val="center"/>
      </w:pPr>
      <w:r>
        <w:t>Figura 3. Reglas XCCDF fallidas obtenidas con OpenSCAP.</w:t>
      </w:r>
    </w:p>
    <w:p>
      <w:pPr>
        <w:jc w:val="center"/>
      </w:pPr>
      <w:r>
        <w:drawing>
          <wp:inline distT="0" distB="0" distL="0" distR="0">
            <wp:extent cx="5943600" cy="1908755"/>
            <wp:docPr id="903" name="03_openscap_reglas_fallidas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openscap_reglas_fallidas.png"/>
                    <pic:cNvPicPr/>
                  </pic:nvPicPr>
                  <pic:blipFill>
                    <a:blip r:embed="rIdS04Image0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08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t>Fuente: evidencia obtenida durante la ejecución del Taller 04.</w:t>
      </w:r>
    </w:p>
    <w:p>
      <w:pPr>
        <w:jc w:val="center"/>
      </w:pPr>
      <w:r>
        <w:t>Figura 4. Advertencias de Docker Bench en las secciones 4 y 5.</w:t>
      </w:r>
    </w:p>
    <w:p>
      <w:pPr>
        <w:jc w:val="center"/>
      </w:pPr>
      <w:r>
        <w:drawing>
          <wp:inline distT="0" distB="0" distL="0" distR="0">
            <wp:extent cx="5943600" cy="1889900"/>
            <wp:docPr id="904" name="04_docker_bench_advertencias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docker_bench_advertencias.png"/>
                    <pic:cNvPicPr/>
                  </pic:nvPicPr>
                  <pic:blipFill>
                    <a:blip r:embed="rIdS04Image0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8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t>Fuente: evidencia obtenida durante la ejecución del Taller 04.</w:t>
      </w:r>
    </w:p>
    <w:p>
      <w:pPr>
        <w:jc w:val="center"/>
      </w:pPr>
      <w:r>
        <w:t>Figura 5. Resumen de vulnerabilidades y detecciones de Trivy.</w:t>
      </w:r>
    </w:p>
    <w:p>
      <w:pPr>
        <w:jc w:val="center"/>
      </w:pPr>
      <w:r>
        <w:drawing>
          <wp:inline distT="0" distB="0" distL="0" distR="0">
            <wp:extent cx="5905500" cy="1933575"/>
            <wp:docPr id="905" name="05_trivy_resumen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trivy_resumen.png"/>
                    <pic:cNvPicPr/>
                  </pic:nvPicPr>
                  <pic:blipFill>
                    <a:blip r:embed="rIdS04Image05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193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t>Fuente: evidencia obtenida durante la ejecución del Taller 04.</w:t>
      </w:r>
    </w:p>
    <w:p>
      <w:pPr>
        <w:jc w:val="center"/>
      </w:pPr>
      <w:r>
        <w:t>Figura 6. Validación del porcentaje de hallazgos sin clasificar.</w:t>
      </w:r>
    </w:p>
    <w:p>
      <w:pPr>
        <w:jc w:val="center"/>
      </w:pPr>
      <w:r>
        <w:drawing>
          <wp:inline distT="0" distB="0" distL="0" distR="0">
            <wp:extent cx="5943600" cy="1243542"/>
            <wp:docPr id="906" name="06_matriz_validacion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matriz_validacion.png"/>
                    <pic:cNvPicPr/>
                  </pic:nvPicPr>
                  <pic:blipFill>
                    <a:blip r:embed="rIdS04Image0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435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t>Fuente: evidencia obtenida durante la ejecución del Taller 04.</w:t>
      </w:r>
    </w:p>
    <w:sectPr>
      <w:headerReference r:id="rIdHdr1" w:type="default"/>
      <w:footerReference r:id="rIdFtr1" w:type="default"/>
      <w:pgSz w:h="16838" w:w="11906"/>
      <w:pgMar w:bottom="1418" w:footer="709" w:gutter="0" w:header="709" w:left="1276" w:right="1276" w:top="1418"/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pBdr>
        <w:top w:val="single" w:sz="12" w:space="2" w:color="1F4E79"/>
      </w:pBdr>
      <w:tabs>
        <w:tab w:val="right" w:pos="9026"/>
      </w:tabs>
      <w:spacing w:before="60" w:after="0"/>
    </w:pPr>
    <w:r>
      <w:rPr>
        <w:rFonts w:ascii="Arial" w:hAnsi="Arial"/>
        <w:color w:val="1F4E79"/>
        <w:sz w:val="18"/>
      </w:rPr>
      <w:t xml:space="preserve">Dr. Oscar Juan Jimenez Flores</w:t>
    </w:r>
    <w:r>
      <w:tab/>
    </w:r>
    <w:r>
      <w:rPr>
        <w:rFonts w:ascii="Arial" w:hAnsi="Arial"/>
        <w:color w:val="1F4E79"/>
        <w:sz w:val="18"/>
      </w:rPr>
      <w:t>-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rPr>
        <w:rFonts w:ascii="Arial" w:hAnsi="Arial"/>
        <w:color w:val="1F4E79"/>
        <w:sz w:val="18"/>
      </w:rPr>
      <w:t> -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pBdr>
        <w:bottom w:val="single" w:sz="12" w:space="2" w:color="1F4E79"/>
      </w:pBdr>
      <w:tabs>
        <w:tab w:val="right" w:pos="9072"/>
      </w:tabs>
      <w:spacing w:after="0"/>
    </w:pPr>
    <w:r>
      <w:drawing>
        <wp:inline distT="0" distB="0" distL="0" distR="0">
          <wp:extent cx="502920" cy="502920"/>
          <wp:effectExtent l="0" t="0" r="0" b="0"/>
          <wp:docPr id="1" name="Imagen 1" descr="Logotipo de la Universidad Privada de Tacn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logo_upt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02920" cy="50292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ab/>
    </w:r>
    <w:r>
      <w:rPr>
        <w:rFonts w:ascii="Arial" w:hAnsi="Arial"/>
        <w:color w:val="1F4E79"/>
        <w:sz w:val="20"/>
      </w:rPr>
      <w:t xml:space="preserve">Escuela Profesional de Ingeniería de Sistemas</w:t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Arial" w:cs="Arial" w:eastAsia="Arial" w:hAnsi="Arial"/>
      <w:sz w:val="22"/>
    </w:rPr>
  </w:style>
  <w:style w:styleId="BodyText" w:type="paragraph">
    <w:name w:val="Body Text"/>
    <w:basedOn w:val="Normal"/>
    <w:link w:val="BodyTextChar"/>
    <w:qFormat/>
    <w:pPr>
      <w:jc w:val="both"/>
      <w:spacing w:after="120" w:before="0"/>
    </w:pPr>
    <w:rPr>
      <w:rFonts w:ascii="Arial" w:cs="Arial" w:eastAsia="Arial" w:hAnsi="Arial"/>
      <w:sz w:val="22"/>
    </w:r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40" w:before="0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Arial" w:cs="Arial" w:eastAsia="Arial" w:hAnsi="Arial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="Arial" w:cs="Arial" w:eastAsia="Arial" w:hAnsi="Arial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ascii="Arial" w:cs="Arial" w:eastAsia="Arial" w:hAnsi="Arial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ascii="Arial" w:cs="Arial" w:eastAsia="Arial" w:hAnsi="Arial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280"/>
      <w:outlineLvl w:val="0"/>
    </w:pPr>
    <w:rPr>
      <w:rFonts w:ascii="Arial" w:cs="Arial" w:eastAsia="Arial" w:hAnsi="Arial"/>
      <w:b/>
      <w:color w:val="16285C"/>
      <w:sz w:val="28"/>
      <w:szCs w:val="28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60" w:before="200"/>
      <w:outlineLvl w:val="1"/>
    </w:pPr>
    <w:rPr>
      <w:rFonts w:ascii="Arial" w:cs="Arial" w:eastAsia="Arial" w:hAnsi="Arial"/>
      <w:b/>
      <w:color w:val="16285C"/>
      <w:sz w:val="24"/>
      <w:szCs w:val="24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40" w:before="160"/>
      <w:outlineLvl w:val="2"/>
    </w:pPr>
    <w:rPr>
      <w:rFonts w:ascii="Arial" w:cs="Arial" w:eastAsia="Arial" w:hAnsi="Arial"/>
      <w:b/>
      <w:color w:val="1F4E79"/>
      <w:sz w:val="22"/>
      <w:szCs w:val="22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140"/>
      <w:outlineLvl w:val="3"/>
    </w:pPr>
    <w:rPr>
      <w:rFonts w:ascii="Arial" w:cs="Arial" w:eastAsia="Arial" w:hAnsi="Arial"/>
      <w:b/>
      <w:color w:val="1F4E79"/>
      <w:sz w:val="22"/>
      <w:szCs w:val="22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ascii="Arial" w:cs="Arial" w:eastAsia="Arial" w:hAnsi="Arial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ascii="Arial" w:cs="Arial" w:eastAsia="Arial" w:hAnsi="Arial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ascii="Arial" w:cs="Arial" w:eastAsia="Arial" w:hAnsi="Arial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ascii="Arial" w:cs="Arial" w:eastAsia="Arial" w:hAnsi="Arial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ascii="Arial" w:cs="Arial" w:eastAsia="Arial" w:hAnsi="Arial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="Arial" w:cs="Arial" w:eastAsia="Arial" w:hAnsi="Arial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="Arial" w:cs="Arial" w:eastAsia="Arial" w:hAnsi="Arial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ascii="Arial" w:cs="Arial" w:eastAsia="Arial" w:hAnsi="Arial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ascii="Arial" w:cs="Arial" w:eastAsia="Arial" w:hAnsi="Arial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ascii="Arial" w:cs="Arial" w:eastAsia="Arial" w:hAnsi="Arial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ascii="Arial" w:cs="Arial" w:eastAsia="Arial" w:hAnsi="Arial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ascii="Arial" w:cs="Arial" w:eastAsia="Arial" w:hAnsi="Arial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ascii="Arial" w:cs="Arial" w:eastAsia="Arial" w:hAnsi="Arial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ascii="Arial" w:cs="Arial" w:eastAsia="Arial" w:hAnsi="Arial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Borders>
        <w:top w:color="9AA5B1" w:space="0" w:sz="6" w:val="single"/>
        <w:left w:color="9AA5B1" w:space="0" w:sz="6" w:val="single"/>
        <w:bottom w:color="9AA5B1" w:space="0" w:sz="6" w:val="single"/>
        <w:right w:color="9AA5B1" w:space="0" w:sz="6" w:val="single"/>
        <w:insideH w:color="9AA5B1" w:space="0" w:sz="6" w:val="single"/>
        <w:insideV w:color="9AA5B1" w:space="0" w:sz="6" w:val="single"/>
      </w:tblBorders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shd w:color="auto" w:fill="EDF2F8" w:val="clear"/>
        <w:tcBorders>
          <w:bottom w:color="16285C" w:sz="8"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Arial" w:cs="Arial" w:eastAsia="Arial" w:hAnsi="Arial"/>
      <w:b w:val="0"/>
      <w:bCs w:val="0"/>
      <w:color w:themeColor="accent1" w:themeShade="BF" w:val="365F91"/>
    </w:rPr>
  </w:style>
  <w:style w:customStyle="1" w:styleId="Centrado" w:type="paragraph">
    <w:name w:val="Centrado"/>
    <w:basedOn w:val="BodyText"/>
    <w:qFormat/>
    <w:pPr>
      <w:jc w:val="center"/>
      <w:spacing w:after="100" w:before="100"/>
    </w:pPr>
    <w:rPr>
      <w:rFonts w:ascii="Arial" w:hAnsi="Arial"/>
    </w:rPr>
  </w:style>
  <w:style w:customStyle="1" w:styleId="TituloCaratula" w:type="paragraph">
    <w:name w:val="TituloCaratula"/>
    <w:basedOn w:val="BodyText"/>
    <w:qFormat/>
    <w:pPr>
      <w:jc w:val="center"/>
      <w:spacing w:after="240" w:before="240"/>
    </w:pPr>
    <w:rPr>
      <w:rFonts w:ascii="Arial" w:hAnsi="Arial"/>
      <w:sz w:val="52"/>
    </w:rPr>
  </w:style>
  <w:style w:customStyle="1" w:styleId="Caratula" w:type="paragraph">
    <w:name w:val="Caratula"/>
    <w:basedOn w:val="BodyText"/>
    <w:qFormat/>
    <w:pPr>
      <w:jc w:val="center"/>
      <w:spacing w:after="80" w:before="0"/>
    </w:pPr>
    <w:rPr>
      <w:rFonts w:ascii="Arial" w:hAnsi="Arial"/>
      <w:sz w:val="22"/>
    </w:rPr>
  </w:style>
  <w:style w:customStyle="1" w:styleId="CaratulaInstitucion" w:type="paragraph">
    <w:name w:val="Caratula Institucion"/>
    <w:basedOn w:val="Caratula"/>
    <w:qFormat/>
    <w:pPr>
      <w:jc w:val="center"/>
      <w:spacing w:after="0" w:before="0"/>
    </w:pPr>
    <w:rPr>
      <w:rFonts w:ascii="Arial" w:hAnsi="Arial"/>
      <w:b/>
      <w:color w:val="16285C"/>
      <w:sz w:val="22"/>
    </w:rPr>
  </w:style>
  <w:style w:customStyle="1" w:styleId="CaratulaTitulo" w:type="paragraph">
    <w:name w:val="Caratula Titulo"/>
    <w:basedOn w:val="Caratula"/>
    <w:qFormat/>
    <w:pPr>
      <w:jc w:val="center"/>
      <w:spacing w:after="60" w:before="420"/>
      <w:pBdr>
        <w:top w:color="16285C" w:space="8" w:sz="8" w:val="single"/>
        <w:bottom w:color="16285C" w:space="8" w:sz="8" w:val="single"/>
      </w:pBdr>
    </w:pPr>
    <w:rPr>
      <w:rFonts w:ascii="Arial" w:hAnsi="Arial"/>
      <w:b/>
      <w:color w:val="16285C"/>
      <w:sz w:val="30"/>
    </w:rPr>
  </w:style>
  <w:style w:customStyle="1" w:styleId="CaratulaCurso" w:type="paragraph">
    <w:name w:val="Caratula Curso"/>
    <w:basedOn w:val="Caratula"/>
    <w:qFormat/>
    <w:pPr>
      <w:jc w:val="center"/>
      <w:spacing w:after="360" w:before="120"/>
    </w:pPr>
    <w:rPr>
      <w:rFonts w:ascii="Arial" w:hAnsi="Arial"/>
      <w:b/>
      <w:sz w:val="24"/>
    </w:rPr>
  </w:style>
  <w:style w:customStyle="1" w:styleId="CaratulaCampo" w:type="paragraph">
    <w:name w:val="Caratula Campo"/>
    <w:basedOn w:val="Caratula"/>
    <w:qFormat/>
    <w:pPr>
      <w:jc w:val="center"/>
      <w:spacing w:after="200" w:before="0"/>
    </w:pPr>
    <w:rPr>
      <w:rFonts w:ascii="Arial" w:hAnsi="Arial"/>
      <w:sz w:val="22"/>
    </w:rPr>
  </w:style>
  <w:style w:customStyle="1" w:styleId="Instruccion" w:type="paragraph">
    <w:name w:val="Instruccion"/>
    <w:basedOn w:val="BodyText"/>
    <w:qFormat/>
    <w:pPr>
      <w:spacing w:after="100" w:before="0"/>
    </w:pPr>
    <w:rPr>
      <w:rFonts w:ascii="Arial" w:hAnsi="Arial"/>
      <w:i/>
      <w:color w:val="5B6B7C"/>
      <w:sz w:val="20"/>
    </w:rPr>
  </w:style>
  <w:style w:customStyle="1" w:styleId="CaratulaEtiqueta" w:type="paragraph">
    <w:name w:val="Caratula Etiqueta"/>
    <w:basedOn w:val="Caratula"/>
    <w:qFormat/>
    <w:pPr>
      <w:jc w:val="center"/>
      <w:spacing w:after="0" w:before="260"/>
    </w:pPr>
    <w:rPr>
      <w:rFonts w:ascii="Arial" w:hAnsi="Arial"/>
      <w:b/>
      <w:caps/>
      <w:color w:val="16285C"/>
      <w:sz w:val="20"/>
    </w:rPr>
  </w:style>
  <w:style w:customStyle="1" w:styleId="CaratulaLinea" w:type="paragraph">
    <w:name w:val="Caratula Linea"/>
    <w:basedOn w:val="Caratula"/>
    <w:qFormat/>
    <w:pPr>
      <w:jc w:val="center"/>
      <w:spacing w:after="0" w:before="0" w:line="320" w:lineRule="auto"/>
    </w:pPr>
    <w:rPr>
      <w:rFonts w:ascii="Arial" w:hAnsi="Arial"/>
      <w:sz w:val="22"/>
    </w:rPr>
  </w:style>
  <w:style w:customStyle="1" w:styleId="CaratulaPie" w:type="paragraph">
    <w:name w:val="Caratula Pie"/>
    <w:basedOn w:val="Caratula"/>
    <w:qFormat/>
    <w:pPr>
      <w:jc w:val="center"/>
      <w:spacing w:after="0" w:before="2400"/>
    </w:pPr>
    <w:rPr>
      <w:rFonts w:ascii="Arial" w:hAnsi="Arial"/>
      <w:sz w:val="22"/>
    </w:rPr>
  </w:style>
  <w:style w:type="paragraph" w:customStyle="1" w:styleId="CaratulaCurso">
    <w:name w:val="CaratulaCurso"/>
    <w:basedOn w:val="BodyText"/>
    <w:qFormat/>
  </w:style>
  <w:style w:type="paragraph" w:customStyle="1" w:styleId="CaratulaEtiqueta">
    <w:name w:val="CaratulaEtiqueta"/>
    <w:basedOn w:val="BodyText"/>
    <w:qFormat/>
  </w:style>
  <w:style w:type="paragraph" w:customStyle="1" w:styleId="CaratulaInstitucion">
    <w:name w:val="CaratulaInstitucion"/>
    <w:basedOn w:val="BodyText"/>
    <w:qFormat/>
  </w:style>
  <w:style w:type="paragraph" w:customStyle="1" w:styleId="CaratulaLinea">
    <w:name w:val="CaratulaLinea"/>
    <w:basedOn w:val="BodyText"/>
    <w:qFormat/>
  </w:style>
  <w:style w:type="paragraph" w:customStyle="1" w:styleId="CaratulaPie">
    <w:name w:val="CaratulaPie"/>
    <w:basedOn w:val="BodyText"/>
    <w:qFormat/>
  </w:style>
  <w:style w:type="paragraph" w:customStyle="1" w:styleId="CaratulaTitulo">
    <w:name w:val="CaratulaTitulo"/>
    <w:basedOn w:val="BodyText"/>
    <w:qFormat/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Type="http://schemas.openxmlformats.org/officeDocument/2006/relationships/numbering" Id="rId8" Target="numbering.xml"/><Relationship Type="http://schemas.openxmlformats.org/officeDocument/2006/relationships/styles" Id="rId7" Target="styles.xml"/><Relationship Type="http://schemas.openxmlformats.org/officeDocument/2006/relationships/settings" Id="rId6" Target="settings.xml"/><Relationship Type="http://schemas.openxmlformats.org/officeDocument/2006/relationships/webSettings" Id="rId5" Target="webSettings.xml"/><Relationship Type="http://schemas.openxmlformats.org/officeDocument/2006/relationships/fontTable" Id="rId4" Target="fontTable.xml"/><Relationship Type="http://schemas.openxmlformats.org/officeDocument/2006/relationships/theme" Id="rId3" Target="theme/theme1.xml"/><Relationship Type="http://schemas.openxmlformats.org/officeDocument/2006/relationships/footnotes" Id="rId2" Target="footnotes.xml"/><Relationship Type="http://schemas.openxmlformats.org/officeDocument/2006/relationships/comments" Id="rId1" Target="comments.xml"/><Relationship Id="rIdHdr1" Target="header1.xml" Type="http://schemas.openxmlformats.org/officeDocument/2006/relationships/header"/><Relationship Id="rIdFtr1" Target="footer1.xml" Type="http://schemas.openxmlformats.org/officeDocument/2006/relationships/footer"/><Relationship Type="http://schemas.openxmlformats.org/officeDocument/2006/relationships/image" Id="rId12" Target="media/rId12.jpg"/><Relationship Type="http://schemas.openxmlformats.org/officeDocument/2006/relationships/image" Id="rId9" Target="media/rId9.png"/><Relationship Id="rIdS04Image01" Type="http://schemas.openxmlformats.org/officeDocument/2006/relationships/image" Target="media/s04_01.png"/><Relationship Id="rIdS04Image02" Type="http://schemas.openxmlformats.org/officeDocument/2006/relationships/image" Target="media/s04_02.png"/><Relationship Id="rIdS04Image03" Type="http://schemas.openxmlformats.org/officeDocument/2006/relationships/image" Target="media/s04_03.png"/><Relationship Id="rIdS04Image04" Type="http://schemas.openxmlformats.org/officeDocument/2006/relationships/image" Target="media/s04_04.png"/><Relationship Id="rIdS04Image05" Type="http://schemas.openxmlformats.org/officeDocument/2006/relationships/image" Target="media/s04_05.png"/><Relationship Id="rIdS04Image06" Type="http://schemas.openxmlformats.org/officeDocument/2006/relationships/image" Target="media/s04_06.png"/></Relationships>
</file>

<file path=word/_rels/footnotes.xml.rels><?xml version="1.0" encoding="UTF-8"?><Relationships xmlns="http://schemas.openxmlformats.org/package/2006/relationships" /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logo_upt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2026-08-27T20:08:59Z</dcterms:created>
  <dcterms:modified xsi:type="dcterms:W3CDTF">2026-08-27T20:08:59Z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