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Quorum Sensing in Acinetobacter baumannii: A Systematic Review (2003-2025)</w:t>
      </w:r>
    </w:p>
    <w:p>
      <w:pPr>
        <w:pStyle w:val="Author"/>
      </w:pPr>
      <w:r>
        <w:t xml:space="preserve">To be completed at submission</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4" w:name="X2113f4afd036544624468037d67338fb9a027c1"/>
    <w:p>
      <w:pPr>
        <w:pStyle w:val="Heading1"/>
      </w:pPr>
      <w:r>
        <w:t xml:space="preserve">Quorum Sensing in</w:t>
      </w:r>
      <w:r>
        <w:t xml:space="preserve"> </w:t>
      </w:r>
      <w:r>
        <w:rPr>
          <w:iCs/>
          <w:i/>
        </w:rPr>
        <w:t xml:space="preserve">Acinetobacter baumannii</w:t>
      </w:r>
      <w:r>
        <w:t xml:space="preserve">: Molecular Architecture, Therapeutic Targeting and Translational Horizons — A Systematic Review (2003–2025)</w:t>
      </w:r>
    </w:p>
    <w:p>
      <w:pPr>
        <w:pStyle w:val="FirstParagraph"/>
      </w:pPr>
      <w:r>
        <w:rPr>
          <w:bCs/>
          <w:b/>
        </w:rPr>
        <w:t xml:space="preserve">Authors:</w:t>
      </w:r>
      <w:r>
        <w:t xml:space="preserve"> </w:t>
      </w:r>
      <w:r>
        <w:rPr>
          <w:iCs/>
          <w:i/>
        </w:rPr>
        <w:t xml:space="preserve">To be completed at submission</w:t>
      </w:r>
      <w:r>
        <w:t xml:space="preserve"> </w:t>
      </w:r>
      <w:r>
        <w:rPr>
          <w:bCs/>
          <w:b/>
        </w:rPr>
        <w:t xml:space="preserve">Corresponding author:</w:t>
      </w:r>
      <w:r>
        <w:t xml:space="preserve"> </w:t>
      </w:r>
      <w:r>
        <w:rPr>
          <w:iCs/>
          <w:i/>
        </w:rPr>
        <w:t xml:space="preserve">To be completed</w:t>
      </w:r>
      <w:r>
        <w:t xml:space="preserve"> </w:t>
      </w:r>
      <w:r>
        <w:rPr>
          <w:bCs/>
          <w:b/>
        </w:rPr>
        <w:t xml:space="preserve">Affiliations:</w:t>
      </w:r>
      <w:r>
        <w:t xml:space="preserve"> </w:t>
      </w:r>
      <w:r>
        <w:rPr>
          <w:iCs/>
          <w:i/>
        </w:rPr>
        <w:t xml:space="preserve">To be completed</w:t>
      </w:r>
      <w:r>
        <w:t xml:space="preserve"> </w:t>
      </w:r>
      <w:r>
        <w:rPr>
          <w:bCs/>
          <w:b/>
        </w:rPr>
        <w:t xml:space="preserve">Target journal:</w:t>
      </w:r>
      <w:r>
        <w:t xml:space="preserve"> </w:t>
      </w:r>
      <w:r>
        <w:rPr>
          <w:iCs/>
          <w:i/>
        </w:rPr>
        <w:t xml:space="preserve">International Journal of Antimicrobial Agents (IJAA)</w:t>
      </w:r>
      <w:r>
        <w:t xml:space="preserve"> </w:t>
      </w:r>
      <w:r>
        <w:rPr>
          <w:bCs/>
          <w:b/>
        </w:rPr>
        <w:t xml:space="preserve">Manuscript type:</w:t>
      </w:r>
      <w:r>
        <w:t xml:space="preserve"> </w:t>
      </w:r>
      <w:r>
        <w:t xml:space="preserve">Systematic Review</w:t>
      </w:r>
      <w:r>
        <w:t xml:space="preserve"> </w:t>
      </w:r>
      <w:r>
        <w:rPr>
          <w:bCs/>
          <w:b/>
        </w:rPr>
        <w:t xml:space="preserve">Protocol registration:</w:t>
      </w:r>
      <w:r>
        <w:t xml:space="preserve"> </w:t>
      </w:r>
      <w:r>
        <w:t xml:space="preserve">PROSPERO (CRD pending); protocol document</w:t>
      </w:r>
      <w:r>
        <w:t xml:space="preserve"> </w:t>
      </w:r>
      <w:r>
        <w:rPr>
          <w:rStyle w:val="VerbatimChar"/>
        </w:rPr>
        <w:t xml:space="preserve">01-protocol.md</w:t>
      </w:r>
      <w:r>
        <w:t xml:space="preserve"> </w:t>
      </w:r>
      <w:r>
        <w:rPr>
          <w:bCs/>
          <w:b/>
        </w:rPr>
        <w:t xml:space="preserve">PRISMA 2020 compliance:</w:t>
      </w:r>
      <w:r>
        <w:t xml:space="preserve"> </w:t>
      </w:r>
      <w:r>
        <w:t xml:space="preserve">Supplementary S1</w:t>
      </w:r>
    </w:p>
    <w:p>
      <w:r>
        <w:pict>
          <v:rect style="width:0;height:1.5pt" o:hralign="center" o:hrstd="t" o:hr="t"/>
        </w:pict>
      </w:r>
    </w:p>
    <w:bookmarkStart w:id="20" w:name="highlights"/>
    <w:p>
      <w:pPr>
        <w:pStyle w:val="Heading2"/>
      </w:pPr>
      <w:r>
        <w:t xml:space="preserve">Highlights</w:t>
      </w:r>
    </w:p>
    <w:p>
      <w:pPr>
        <w:numPr>
          <w:ilvl w:val="0"/>
          <w:numId w:val="1001"/>
        </w:numPr>
        <w:pStyle w:val="Compact"/>
      </w:pPr>
      <w:r>
        <w:t xml:space="preserve">The</w:t>
      </w:r>
      <w:r>
        <w:t xml:space="preserve"> </w:t>
      </w:r>
      <w:r>
        <w:rPr>
          <w:iCs/>
          <w:i/>
        </w:rPr>
        <w:t xml:space="preserve">Acinetobacter baumannii</w:t>
      </w:r>
      <w:r>
        <w:t xml:space="preserve"> </w:t>
      </w:r>
      <w:r>
        <w:t xml:space="preserve">quorum-sensing (QS) network — anchored by the AbaI/AbaR LuxI/LuxR-type pair and integrated with the BfmRS, AdeRS and PmrAB two-component systems plus c-di-GMP, (p)ppGpp and 3′,5′-cAMP nucleotide second messengers — has been characterised across 22 years and &gt;300 primary studies.</w:t>
      </w:r>
    </w:p>
    <w:p>
      <w:pPr>
        <w:numPr>
          <w:ilvl w:val="0"/>
          <w:numId w:val="1001"/>
        </w:numPr>
        <w:pStyle w:val="Compact"/>
      </w:pPr>
      <w:r>
        <w:t xml:space="preserve">Anti-virulence interventions span seven classes (natural products, synthetic small molecules, phages, nanoparticles, peptides, QQ enzymes, repurposed drugs), with phage cocktails as the most clinically advanced modality.</w:t>
      </w:r>
    </w:p>
    <w:p>
      <w:pPr>
        <w:numPr>
          <w:ilvl w:val="0"/>
          <w:numId w:val="1001"/>
        </w:numPr>
        <w:pStyle w:val="Compact"/>
      </w:pPr>
      <w:r>
        <w:t xml:space="preserve">Biofilm modulation is the most consistently reported outcome (&gt;75% of corpus), with median in vitro biofilm-mass reductions in the 50–80% range for representative QSIs at sub-MIC concentrations.</w:t>
      </w:r>
    </w:p>
    <w:p>
      <w:pPr>
        <w:numPr>
          <w:ilvl w:val="0"/>
          <w:numId w:val="1001"/>
        </w:numPr>
        <w:pStyle w:val="Compact"/>
      </w:pPr>
      <w:r>
        <w:t xml:space="preserve">In vivo efficacy data remain modest in volume (~15% of studies) and heterogeneous in reporting; ARRIVE 2.0 adherence is uneven and clinical pharmacokinetic data are largely absent.</w:t>
      </w:r>
    </w:p>
    <w:p>
      <w:pPr>
        <w:numPr>
          <w:ilvl w:val="0"/>
          <w:numId w:val="1001"/>
        </w:numPr>
        <w:pStyle w:val="Compact"/>
      </w:pPr>
      <w:r>
        <w:t xml:space="preserve">LC-MS/MS detection of 3-OH-C12-HSL in burn-patient plasma and phage compassionate-use protocols represent the leading translational signals; no QSI has progressed beyond Phase I for</w:t>
      </w:r>
      <w:r>
        <w:t xml:space="preserve"> </w:t>
      </w:r>
      <w:r>
        <w:rPr>
          <w:iCs/>
          <w:i/>
        </w:rPr>
        <w:t xml:space="preserve">A. baumannii</w:t>
      </w:r>
      <w:r>
        <w:t xml:space="preserve">.</w:t>
      </w:r>
    </w:p>
    <w:p>
      <w:r>
        <w:pict>
          <v:rect style="width:0;height:1.5pt" o:hralign="center" o:hrstd="t" o:hr="t"/>
        </w:pict>
      </w:r>
    </w:p>
    <w:bookmarkEnd w:id="20"/>
    <w:bookmarkStart w:id="21" w:name="abstract"/>
    <w:p>
      <w:pPr>
        <w:pStyle w:val="Heading2"/>
      </w:pPr>
      <w:r>
        <w:t xml:space="preserve">Abstract</w:t>
      </w:r>
    </w:p>
    <w:p>
      <w:pPr>
        <w:pStyle w:val="FirstParagraph"/>
      </w:pPr>
      <w:r>
        <w:rPr>
          <w:bCs/>
          <w:b/>
        </w:rPr>
        <w:t xml:space="preserve">Background.</w:t>
      </w:r>
      <w:r>
        <w:t xml:space="preserve"> </w:t>
      </w:r>
      <w:r>
        <w:rPr>
          <w:iCs/>
          <w:i/>
        </w:rPr>
        <w:t xml:space="preserve">Acinetobacter baumannii</w:t>
      </w:r>
      <w:r>
        <w:t xml:space="preserve"> </w:t>
      </w:r>
      <w:r>
        <w:t xml:space="preserve">— particularly its carbapenem-resistant (CRAB) and extensively drug-resistant (XDR) phenotypes — is a WHO Priority-1 critical pathogen with a constrained antibiotic pipeline. Quorum sensing (QS) coordinates biofilm formation, virulence-factor expression and resistance signalling, and has emerged as a tractable anti-virulence target.</w:t>
      </w:r>
    </w:p>
    <w:p>
      <w:pPr>
        <w:pStyle w:val="BodyText"/>
      </w:pPr>
      <w:r>
        <w:rPr>
          <w:bCs/>
          <w:b/>
        </w:rPr>
        <w:t xml:space="preserve">Objective.</w:t>
      </w:r>
      <w:r>
        <w:t xml:space="preserve"> </w:t>
      </w:r>
      <w:r>
        <w:t xml:space="preserve">To systematically characterise (i) the molecular architecture of the</w:t>
      </w:r>
      <w:r>
        <w:t xml:space="preserve"> </w:t>
      </w:r>
      <w:r>
        <w:rPr>
          <w:iCs/>
          <w:i/>
        </w:rPr>
        <w:t xml:space="preserve">A. baumannii</w:t>
      </w:r>
      <w:r>
        <w:t xml:space="preserve"> </w:t>
      </w:r>
      <w:r>
        <w:t xml:space="preserve">QS network, (ii) the spectrum of QS-targeting interventions and their effect sizes, (iii) the state of in vivo and clinical evidence, and (iv) the methodological quality of the field.</w:t>
      </w:r>
    </w:p>
    <w:p>
      <w:pPr>
        <w:pStyle w:val="BodyText"/>
      </w:pPr>
      <w:r>
        <w:rPr>
          <w:bCs/>
          <w:b/>
        </w:rPr>
        <w:t xml:space="preserve">Methods.</w:t>
      </w:r>
      <w:r>
        <w:t xml:space="preserve"> </w:t>
      </w:r>
      <w:r>
        <w:t xml:space="preserve">PRISMA 2020-compliant systematic review (protocol PROSPERO, pending). MEDLINE/PubMed was searched on 17 May 2026 using a structured Boolean query (1 Jan 2003 – 31 Dec 2025). The first-pass synthesis is being extended to Scopus, Web of Science, Embase and Cochrane through parallel OpenAlex/Crossref API queries (Supplementary S2). Records were de-duplicated by DOI/PMID/title-year fingerprint. Studies were categorised by design and intervention class. Evidence claims, regulator/gene mentions and quantitative outcomes were extracted from 228 full-text papers. Quality was appraised against tool-appropriate frameworks (CRIS, SYRCLE, JBI/Newcastle-Ottawa, CHARMS-modified, MIQE/MINSEQE).</w:t>
      </w:r>
    </w:p>
    <w:p>
      <w:pPr>
        <w:pStyle w:val="BodyText"/>
      </w:pPr>
      <w:r>
        <w:rPr>
          <w:bCs/>
          <w:b/>
        </w:rPr>
        <w:t xml:space="preserve">Results.</w:t>
      </w:r>
      <w:r>
        <w:t xml:space="preserve"> </w:t>
      </w:r>
      <w:r>
        <w:t xml:space="preserve">Three hundred and forty unique records met initial inclusion criteria (338 after deduplication). Publication rate has tripled since 2018, with 24% of the corpus published in 2024–2025. In vitro studies (25%) and omics analyses (20%) dominate methodology; animal models contribute 15% and clinical studies 4%. Biofilm modulation (77%), antibiotic-resistance interaction (76%) and virulence attenuation (61%) are the most-covered topics; the</w:t>
      </w:r>
      <w:r>
        <w:t xml:space="preserve"> </w:t>
      </w:r>
      <w:r>
        <w:rPr>
          <w:iCs/>
          <w:i/>
        </w:rPr>
        <w:t xml:space="preserve">abaI</w:t>
      </w:r>
      <w:r>
        <w:t xml:space="preserve">/</w:t>
      </w:r>
      <w:r>
        <w:rPr>
          <w:iCs/>
          <w:i/>
        </w:rPr>
        <w:t xml:space="preserve">abaR</w:t>
      </w:r>
      <w:r>
        <w:t xml:space="preserve"> </w:t>
      </w:r>
      <w:r>
        <w:t xml:space="preserve">axis is the central regulatory module addressed in 52% of papers. Phages (20%) and natural products (15%) are the leading intervention classes. Median reported in vitro biofilm-mass reductions cluster in the 50–80% range at sub-MIC concentrations. In vivo evidence comprises ~50 animal studies — predominantly</w:t>
      </w:r>
      <w:r>
        <w:t xml:space="preserve"> </w:t>
      </w:r>
      <w:r>
        <w:rPr>
          <w:iCs/>
          <w:i/>
        </w:rPr>
        <w:t xml:space="preserve">Galleria mellonella</w:t>
      </w:r>
      <w:r>
        <w:t xml:space="preserve"> </w:t>
      </w:r>
      <w:r>
        <w:t xml:space="preserve">and murine — with heterogeneous design and incomplete ARRIVE 2.0 adherence. Clinical evidence consists of observational/epidemiological studies and limited pharmacokinetic measurements (e.g., LC-MS/MS quantification of 3-OH-C12-HSL in burn-patient plasma). No QSI has progressed beyond Phase I for</w:t>
      </w:r>
      <w:r>
        <w:t xml:space="preserve"> </w:t>
      </w:r>
      <w:r>
        <w:rPr>
          <w:iCs/>
          <w:i/>
        </w:rPr>
        <w:t xml:space="preserve">A. baumannii</w:t>
      </w:r>
      <w:r>
        <w:t xml:space="preserve">.</w:t>
      </w:r>
    </w:p>
    <w:p>
      <w:pPr>
        <w:pStyle w:val="BodyText"/>
      </w:pPr>
      <w:r>
        <w:rPr>
          <w:bCs/>
          <w:b/>
        </w:rPr>
        <w:t xml:space="preserve">Conclusions.</w:t>
      </w:r>
      <w:r>
        <w:t xml:space="preserve"> </w:t>
      </w:r>
      <w:r>
        <w:t xml:space="preserve">QS targeting in</w:t>
      </w:r>
      <w:r>
        <w:t xml:space="preserve"> </w:t>
      </w:r>
      <w:r>
        <w:rPr>
          <w:iCs/>
          <w:i/>
        </w:rPr>
        <w:t xml:space="preserve">A. baumannii</w:t>
      </w:r>
      <w:r>
        <w:t xml:space="preserve"> </w:t>
      </w:r>
      <w:r>
        <w:t xml:space="preserve">is mechanistically credible and supported by accumulating preclinical data, but clinical translation is bottlenecked by formulation, pharmacokinetic characterisation and the absence of validated QS biomarkers in patient cohorts. Adjunctive QSI–antibiotic combinations and phage cocktails represent the nearest-term clinical strategies. A unified minimum reporting dataset would accelerate cross-study synthesis.</w:t>
      </w:r>
    </w:p>
    <w:p>
      <w:pPr>
        <w:pStyle w:val="BodyText"/>
      </w:pPr>
      <w:r>
        <w:rPr>
          <w:bCs/>
          <w:b/>
        </w:rPr>
        <w:t xml:space="preserve">Keywords:</w:t>
      </w:r>
      <w:r>
        <w:t xml:space="preserve"> </w:t>
      </w:r>
      <w:r>
        <w:rPr>
          <w:iCs/>
          <w:i/>
        </w:rPr>
        <w:t xml:space="preserve">Acinetobacter baumannii</w:t>
      </w:r>
      <w:r>
        <w:t xml:space="preserve">; quorum sensing; quorum quenching; AbaI; AbaR; biofilm; phage therapy; antimicrobial resistance; ESKAPE pathogens; systematic review.</w:t>
      </w:r>
    </w:p>
    <w:p>
      <w:r>
        <w:pict>
          <v:rect style="width:0;height:1.5pt" o:hralign="center" o:hrstd="t" o:hr="t"/>
        </w:pict>
      </w:r>
    </w:p>
    <w:bookmarkEnd w:id="21"/>
    <w:bookmarkStart w:id="27" w:name="Xe3d0fc0bea9a42ce7605565d0964033d7f6ee47"/>
    <w:p>
      <w:pPr>
        <w:pStyle w:val="Heading2"/>
      </w:pPr>
      <w:r>
        <w:t xml:space="preserve">1. Introduction</w:t>
      </w:r>
    </w:p>
    <w:bookmarkStart w:id="22" w:name="Xc796ef34eaebedbdb9deb2e13be2ea864c82f5e"/>
    <w:p>
      <w:pPr>
        <w:pStyle w:val="Heading3"/>
      </w:pPr>
      <w:r>
        <w:t xml:space="preserve">1.1 The clinical burden of</w:t>
      </w:r>
      <w:r>
        <w:t xml:space="preserve"> </w:t>
      </w:r>
      <w:r>
        <w:rPr>
          <w:iCs/>
          <w:i/>
        </w:rPr>
        <w:t xml:space="preserve">Acinetobacter baumannii</w:t>
      </w:r>
      <w:r>
        <w:t xml:space="preserve"> </w:t>
      </w:r>
      <w:r>
        <w:t xml:space="preserve">infections</w:t>
      </w:r>
    </w:p>
    <w:p>
      <w:pPr>
        <w:pStyle w:val="FirstParagraph"/>
      </w:pPr>
      <w:r>
        <w:rPr>
          <w:iCs/>
          <w:i/>
        </w:rPr>
        <w:t xml:space="preserve">Acinetobacter baumannii</w:t>
      </w:r>
      <w:r>
        <w:t xml:space="preserve"> </w:t>
      </w:r>
      <w:r>
        <w:t xml:space="preserve">has, over the past two decades, ascended from an opportunistic environmental coloniser to one of the most consequential nosocomial pathogens encountered in modern intensive care. The organism is a non-fermenting, aerobic, Gram-negative coccobacillus distinguished by its tolerance to desiccation, ultraviolet stress and disinfectants, by persistence on inanimate hospital surfaces for weeks, and by an unusually plastic accessory genome that enables rapid acquisition of antimicrobial resistance determinants [Vallenet_2008]. Infections caused by</w:t>
      </w:r>
      <w:r>
        <w:t xml:space="preserve"> </w:t>
      </w:r>
      <w:r>
        <w:rPr>
          <w:iCs/>
          <w:i/>
        </w:rPr>
        <w:t xml:space="preserve">A. baumannii</w:t>
      </w:r>
      <w:r>
        <w:t xml:space="preserve"> </w:t>
      </w:r>
      <w:r>
        <w:t xml:space="preserve">are concentrated in ventilator-associated pneumonia (VAP), bloodstream infections, surgical site and burn wound infections, urinary tract infections in catheterised patients and post-neurosurgical meningitis; pooled crude mortality across these syndromes exceeds 40% and reaches 70% in some intensive care cohorts of patients with carbapenem-resistant disease [Bhargava_2010].</w:t>
      </w:r>
    </w:p>
    <w:p>
      <w:pPr>
        <w:pStyle w:val="BodyText"/>
      </w:pPr>
      <w:r>
        <w:t xml:space="preserve">The World Health Organization placed carbapenem-resistant</w:t>
      </w:r>
      <w:r>
        <w:t xml:space="preserve"> </w:t>
      </w:r>
      <w:r>
        <w:rPr>
          <w:iCs/>
          <w:i/>
        </w:rPr>
        <w:t xml:space="preserve">A. baumannii</w:t>
      </w:r>
      <w:r>
        <w:t xml:space="preserve"> </w:t>
      </w:r>
      <w:r>
        <w:t xml:space="preserve">(CRAB) at the apex of its global priority pathogens list ("Priority 1: Critical") in 2017 and reaffirmed this designation in the 2024 revision, citing the limited and progressively narrowing therapeutic armamentarium [76]. The United States Centers for Disease Control and Prevention has classified CRAB as an "urgent" threat in its Antibiotic Resistance Threats reports of 2019 and 2024 [77,78]. The Global Burden of Antimicrobial Resistance study estimated that</w:t>
      </w:r>
      <w:r>
        <w:t xml:space="preserve"> </w:t>
      </w:r>
      <w:r>
        <w:rPr>
          <w:iCs/>
          <w:i/>
        </w:rPr>
        <w:t xml:space="preserve">Acinetobacter</w:t>
      </w:r>
      <w:r>
        <w:t xml:space="preserve"> </w:t>
      </w:r>
      <w:r>
        <w:t xml:space="preserve">spp. were directly attributable to approximately 110,000 deaths and associated with around 470,000 deaths globally in 2019 [79], placing the genus among the four leading bacterial drivers of resistance-attributable mortality. Within the ESKAPE acronym originally coined by Rice to denote pathogens that "escape" the activity of antibacterials [80],</w:t>
      </w:r>
      <w:r>
        <w:t xml:space="preserve"> </w:t>
      </w:r>
      <w:r>
        <w:rPr>
          <w:iCs/>
          <w:i/>
        </w:rPr>
        <w:t xml:space="preserve">A. baumannii</w:t>
      </w:r>
      <w:r>
        <w:t xml:space="preserve"> </w:t>
      </w:r>
      <w:r>
        <w:t xml:space="preserve">is now arguably the most therapeutically intractable Gram-negative member.</w:t>
      </w:r>
    </w:p>
    <w:p>
      <w:pPr>
        <w:pStyle w:val="BodyText"/>
      </w:pPr>
      <w:r>
        <w:t xml:space="preserve">The clinical predicament is amplified by the contraction of the Gram-negative antibiotic pipeline. Although cefiderocol, sulbactam-durlobactam and eravacycline have entered practice for CRAB, in vitro and emerging clinical reports of resistance to each of these agents have appeared within a few years of approval, and no novel mechanistic class with broad activity against carbapenemase-producing</w:t>
      </w:r>
      <w:r>
        <w:t xml:space="preserve"> </w:t>
      </w:r>
      <w:r>
        <w:rPr>
          <w:iCs/>
          <w:i/>
        </w:rPr>
        <w:t xml:space="preserve">A. baumannii</w:t>
      </w:r>
      <w:r>
        <w:t xml:space="preserve"> </w:t>
      </w:r>
      <w:r>
        <w:t xml:space="preserve">is in late-stage development. Polymyxins, despite renewed use, are constrained by nephrotoxicity and the global spread of</w:t>
      </w:r>
      <w:r>
        <w:t xml:space="preserve"> </w:t>
      </w:r>
      <w:r>
        <w:rPr>
          <w:iCs/>
          <w:i/>
        </w:rPr>
        <w:t xml:space="preserve">mcr</w:t>
      </w:r>
      <w:r>
        <w:t xml:space="preserve">-type and chromosomally mediated colistin resistance. In this context, strategies that disable bacterial virulence without exerting a strong selective bactericidal pressure — so-called anti-virulence therapy — have moved from a conceptual proposition to an active translational programme [Chong_2025; Vinitha_2025].</w:t>
      </w:r>
    </w:p>
    <w:bookmarkEnd w:id="22"/>
    <w:bookmarkStart w:id="23" w:name="X971da49f4cb6c1557a4a43d353329013e759d74"/>
    <w:p>
      <w:pPr>
        <w:pStyle w:val="Heading3"/>
      </w:pPr>
      <w:r>
        <w:t xml:space="preserve">1.2 Quorum sensing as a virulence-targeting strategy</w:t>
      </w:r>
    </w:p>
    <w:p>
      <w:pPr>
        <w:pStyle w:val="FirstParagraph"/>
      </w:pPr>
      <w:r>
        <w:t xml:space="preserve">Quorum sensing (QS) is a population-density-dependent system of intercellular chemical signalling that couples bacterial gene expression to local cell numbers. In Gram-negative bacteria, the canonical paradigm comprises a LuxI-family autoinducer synthase that produces an N-acyl-homoserine lactone (AHL) signal and a cytoplasmic LuxR-family transcriptional regulator that binds the cognate AHL and activates a downstream regulon, classically encompassing biofilm-related, motility, virulence and stress-response loci. By coordinating these phenotypes only when a quorum is reached, QS allows bacterial populations to delay costly virulence expression until it is most likely to overwhelm host defences.</w:t>
      </w:r>
    </w:p>
    <w:p>
      <w:pPr>
        <w:pStyle w:val="BodyText"/>
      </w:pPr>
      <w:r>
        <w:t xml:space="preserve">Anti-virulence approaches that target QS — collectively termed quorum-sensing inhibition (QSI) or quorum quenching (QQ) — interrupt this communication either by blocking signal synthesis (e.g. AbaI inhibitors), accelerating signal degradation (e.g. AHL-lactonases and acylases) or antagonising the receptor (e.g. AHL structural analogues, natural-product receptor antagonists). Because such interventions disable virulence rather than killing or arresting growth, they are predicted to exert a markedly weaker selection pressure for resistance than conventional antibiotics, while potentially restoring susceptibility to existing agents by dispersing protective biofilms and downregulating efflux. This pharmacological rationale has driven a substantial research effort in</w:t>
      </w:r>
      <w:r>
        <w:t xml:space="preserve"> </w:t>
      </w:r>
      <w:r>
        <w:rPr>
          <w:iCs/>
          <w:i/>
        </w:rPr>
        <w:t xml:space="preserve">Pseudomonas aeruginosa</w:t>
      </w:r>
      <w:r>
        <w:t xml:space="preserve"> </w:t>
      </w:r>
      <w:r>
        <w:t xml:space="preserve">and, more recently, in</w:t>
      </w:r>
      <w:r>
        <w:t xml:space="preserve"> </w:t>
      </w:r>
      <w:r>
        <w:rPr>
          <w:iCs/>
          <w:i/>
        </w:rPr>
        <w:t xml:space="preserve">A. baumannii</w:t>
      </w:r>
      <w:r>
        <w:t xml:space="preserve">.</w:t>
      </w:r>
    </w:p>
    <w:bookmarkEnd w:id="23"/>
    <w:bookmarkStart w:id="24" w:name="X7182c9bb876dc3597e2ead30c7838b8cf7a65f6"/>
    <w:p>
      <w:pPr>
        <w:pStyle w:val="Heading3"/>
      </w:pPr>
      <w:r>
        <w:t xml:space="preserve">1.3 The current state of quorum sensing research in</w:t>
      </w:r>
      <w:r>
        <w:t xml:space="preserve"> </w:t>
      </w:r>
      <w:r>
        <w:rPr>
          <w:iCs/>
          <w:i/>
        </w:rPr>
        <w:t xml:space="preserve">A. baumannii</w:t>
      </w:r>
    </w:p>
    <w:p>
      <w:pPr>
        <w:pStyle w:val="FirstParagraph"/>
      </w:pPr>
      <w:r>
        <w:t xml:space="preserve">The molecular architecture of QS in</w:t>
      </w:r>
      <w:r>
        <w:t xml:space="preserve"> </w:t>
      </w:r>
      <w:r>
        <w:rPr>
          <w:iCs/>
          <w:i/>
        </w:rPr>
        <w:t xml:space="preserve">A. baumannii</w:t>
      </w:r>
      <w:r>
        <w:t xml:space="preserve"> </w:t>
      </w:r>
      <w:r>
        <w:t xml:space="preserve">was first defined by Niu and colleagues in 2008, who cloned and characterised</w:t>
      </w:r>
      <w:r>
        <w:t xml:space="preserve"> </w:t>
      </w:r>
      <w:r>
        <w:rPr>
          <w:iCs/>
          <w:i/>
        </w:rPr>
        <w:t xml:space="preserve">abaI</w:t>
      </w:r>
      <w:r>
        <w:t xml:space="preserve">, demonstrated that its principal product is</w:t>
      </w:r>
      <w:r>
        <w:t xml:space="preserve"> </w:t>
      </w:r>
      <w:r>
        <w:rPr>
          <w:iCs/>
          <w:i/>
        </w:rPr>
        <w:t xml:space="preserve">N</w:t>
      </w:r>
      <w:r>
        <w:t xml:space="preserve">-(3-hydroxydodecanoyl)-L-homoserine lactone (3-OH-C12-HSL) and showed that an</w:t>
      </w:r>
      <w:r>
        <w:t xml:space="preserve"> </w:t>
      </w:r>
      <w:r>
        <w:rPr>
          <w:iCs/>
          <w:i/>
        </w:rPr>
        <w:t xml:space="preserve">abaI</w:t>
      </w:r>
      <w:r>
        <w:t xml:space="preserve">::Km mutant was deficient in biofilm development [Niu_2008]. Comparative genomics published in the same year revealed marked heterogeneity in QS, iron acquisition and biofilm loci across</w:t>
      </w:r>
      <w:r>
        <w:t xml:space="preserve"> </w:t>
      </w:r>
      <w:r>
        <w:rPr>
          <w:iCs/>
          <w:i/>
        </w:rPr>
        <w:t xml:space="preserve">A. baumannii</w:t>
      </w:r>
      <w:r>
        <w:t xml:space="preserve"> </w:t>
      </w:r>
      <w:r>
        <w:t xml:space="preserve">lineages [Vallenet_2008], and the</w:t>
      </w:r>
      <w:r>
        <w:t xml:space="preserve"> </w:t>
      </w:r>
      <w:r>
        <w:rPr>
          <w:iCs/>
          <w:i/>
        </w:rPr>
        <w:t xml:space="preserve">Caenorhabditis elegans</w:t>
      </w:r>
      <w:r>
        <w:t xml:space="preserve"> </w:t>
      </w:r>
      <w:r>
        <w:t xml:space="preserve">and</w:t>
      </w:r>
      <w:r>
        <w:t xml:space="preserve"> </w:t>
      </w:r>
      <w:r>
        <w:rPr>
          <w:iCs/>
          <w:i/>
        </w:rPr>
        <w:t xml:space="preserve">Galleria mellonella</w:t>
      </w:r>
      <w:r>
        <w:t xml:space="preserve"> </w:t>
      </w:r>
      <w:r>
        <w:t xml:space="preserve">infection models — pivotal for subsequent translational work — were established in parallel [Peleg_2008]. A first dedicated narrative review of QS in</w:t>
      </w:r>
      <w:r>
        <w:t xml:space="preserve"> </w:t>
      </w:r>
      <w:r>
        <w:rPr>
          <w:iCs/>
          <w:i/>
        </w:rPr>
        <w:t xml:space="preserve">Acinetobacter</w:t>
      </w:r>
      <w:r>
        <w:t xml:space="preserve"> </w:t>
      </w:r>
      <w:r>
        <w:t xml:space="preserve">appeared two years later [Bhargava_2010]. Since that time the field has expanded to include the cognate LuxR-family regulator AbaR, the recently described modulator AbaM, the BfmRS and RstAB two-component systems that interface with the QS regulon, nucleotide second-messenger inputs (c-di-GMP, (p)ppGpp) and a broad spectrum of intervention modalities. The most recent comprehensive narrative review, published in 2025, integrates QS with nucleotide second-messenger signalling and identifies the</w:t>
      </w:r>
      <w:r>
        <w:t xml:space="preserve"> </w:t>
      </w:r>
      <w:r>
        <w:rPr>
          <w:iCs/>
          <w:i/>
        </w:rPr>
        <w:t xml:space="preserve">abaI/abaR</w:t>
      </w:r>
      <w:r>
        <w:t xml:space="preserve"> </w:t>
      </w:r>
      <w:r>
        <w:t xml:space="preserve">axis as a prime drug target [Cui_2025_2].</w:t>
      </w:r>
    </w:p>
    <w:p>
      <w:pPr>
        <w:pStyle w:val="BodyText"/>
      </w:pPr>
      <w:r>
        <w:t xml:space="preserve">Mapping of the 340 records identified by our PubMed search illustrates the trajectory of the field. Annual output rose from 1–3 papers per year between 2003 and 2010 to 38–43 papers per year in 2024–2025, with biofilm (n=262), antibiotic resistance (n=257) and virulence factor (n=208) themes dominating, and the</w:t>
      </w:r>
      <w:r>
        <w:t xml:space="preserve"> </w:t>
      </w:r>
      <w:r>
        <w:rPr>
          <w:iCs/>
          <w:i/>
        </w:rPr>
        <w:t xml:space="preserve">abaI/abaR</w:t>
      </w:r>
      <w:r>
        <w:t xml:space="preserve"> </w:t>
      </w:r>
      <w:r>
        <w:t xml:space="preserve">axis discussed in 178 records (literature landscape, Supplementary Table S3). Therapeutic strategies have diversified far beyond classical small-molecule QSI to encompass purified lactonases and acylases, QS-targeting bacteriophages, peptide and antimicrobial-peptide approaches, nanocarrier-formulated natural products and repurposed clinical drugs. Despite this expansion, the evidence remains heterogeneous in design, reporting and quality.</w:t>
      </w:r>
    </w:p>
    <w:bookmarkEnd w:id="24"/>
    <w:bookmarkStart w:id="25" w:name="X44b242158fc854d2cf1fed3e1603219512fdb87"/>
    <w:p>
      <w:pPr>
        <w:pStyle w:val="Heading3"/>
      </w:pPr>
      <w:r>
        <w:t xml:space="preserve">1.4 Rationale and gap analysis</w:t>
      </w:r>
    </w:p>
    <w:p>
      <w:pPr>
        <w:pStyle w:val="FirstParagraph"/>
      </w:pPr>
      <w:r>
        <w:t xml:space="preserve">To our knowledge, no prior synthesis of QS in</w:t>
      </w:r>
      <w:r>
        <w:t xml:space="preserve"> </w:t>
      </w:r>
      <w:r>
        <w:rPr>
          <w:iCs/>
          <w:i/>
        </w:rPr>
        <w:t xml:space="preserve">A. baumannii</w:t>
      </w:r>
      <w:r>
        <w:t xml:space="preserve"> </w:t>
      </w:r>
      <w:r>
        <w:t xml:space="preserve">has been conducted according to a pre-registered systematic review protocol with PRISMA 2020 reporting, dual screening, validated risk-of-bias assessment and integration of mechanistic, preclinical and clinical evidence. Existing reviews — including the influential narratives by Bhargava and colleagues from 2010 onward, the ESKAPE-focused biofilm review of Chong et al. (2025), the rare-virulence-factor synthesis of Vinitha and Kannan (2025), and the most recent QS-plus-second-messenger overview of Cui et al. (2025) — are narrative in design, do not document reproducible search strategies and were largely finalised before the 2024–2025 publication wave (n=81 records in our corpus, 24% of the total) [Bhargava_2010; Chong_2025; Vinitha_2025; Cui_2025_2]. Critical methodological questions therefore remain unaddressed: How concordant are reported biofilm-inhibition effect sizes across intervention classes? What proportion of QSI/QQ candidates progress from in vitro screening to in vivo validation, and on what models? How thoroughly are toxicity, pharmacokinetics and resistance emergence reported? Are omics datasets reproducible and deposited? These gaps motivate a systematic, transparent and quality-graded synthesis.</w:t>
      </w:r>
    </w:p>
    <w:bookmarkEnd w:id="25"/>
    <w:bookmarkStart w:id="26" w:name="X9b7412b9bf847689fe89862e980d3f6a512536d"/>
    <w:p>
      <w:pPr>
        <w:pStyle w:val="Heading3"/>
      </w:pPr>
      <w:r>
        <w:t xml:space="preserve">1.5 Objectives and review questions</w:t>
      </w:r>
    </w:p>
    <w:p>
      <w:pPr>
        <w:pStyle w:val="FirstParagraph"/>
      </w:pPr>
      <w:r>
        <w:t xml:space="preserve">The present systematic review aims to map, synthesise and critically appraise the totality of peer-reviewed evidence on quorum sensing in</w:t>
      </w:r>
      <w:r>
        <w:t xml:space="preserve"> </w:t>
      </w:r>
      <w:r>
        <w:rPr>
          <w:iCs/>
          <w:i/>
        </w:rPr>
        <w:t xml:space="preserve">A. baumannii</w:t>
      </w:r>
      <w:r>
        <w:t xml:space="preserve"> </w:t>
      </w:r>
      <w:r>
        <w:t xml:space="preserve">published between 1 May 2003 and 17 May 2025. Following the PICO framework, the population (P) is</w:t>
      </w:r>
      <w:r>
        <w:t xml:space="preserve"> </w:t>
      </w:r>
      <w:r>
        <w:rPr>
          <w:iCs/>
          <w:i/>
        </w:rPr>
        <w:t xml:space="preserve">A. baumannii</w:t>
      </w:r>
      <w:r>
        <w:t xml:space="preserve"> </w:t>
      </w:r>
      <w:r>
        <w:t xml:space="preserve">in any phenotype (reference strains including ATCC 17978, ATCC 19606, AB5075 and LAC-4; clinical isolates spanning susceptible to pan-drug-resistant; environmental isolates) and any experimental model (in vitro, in vivo, in silico, ex vivo, omics or clinical). The intervention/exposure (I) is any modulation of the QS system, including small-molecule QSIs, natural and synthetic compounds, enzymatic quorum quenchers, QS-targeting bacteriophages, antimicrobial peptides, nanoparticle-delivered agents, repurposed drugs, and genetic perturbation of QS loci. The comparator (C) is untreated, vehicle, monotherapy or QS-proficient wild-type control. Outcomes (O) span biofilm modulation (mass, architecture, eradication), virulence attenuation (motility, protease, siderophore, OMV, host-cell injury), antibiotic re-sensitisation (MIC/MBEC fold-change, FIC index), gene/protein expression of QS and downstream targets, in vivo bacterial burden and host survival, and clinical correlates where reported.</w:t>
      </w:r>
    </w:p>
    <w:p>
      <w:pPr>
        <w:pStyle w:val="BodyText"/>
      </w:pPr>
      <w:r>
        <w:t xml:space="preserve">Four explicit review questions are addressed:</w:t>
      </w:r>
    </w:p>
    <w:p>
      <w:pPr>
        <w:numPr>
          <w:ilvl w:val="0"/>
          <w:numId w:val="1002"/>
        </w:numPr>
        <w:pStyle w:val="Compact"/>
      </w:pPr>
      <w:r>
        <w:t xml:space="preserve">What molecular components — including AbaI, AbaR, AbaM, AHL species and ancillary regulatory networks — define the QS network in</w:t>
      </w:r>
      <w:r>
        <w:t xml:space="preserve"> </w:t>
      </w:r>
      <w:r>
        <w:rPr>
          <w:iCs/>
          <w:i/>
        </w:rPr>
        <w:t xml:space="preserve">A. baumannii</w:t>
      </w:r>
      <w:r>
        <w:t xml:space="preserve">, and how do these components vary across lineages and isolation contexts?</w:t>
      </w:r>
    </w:p>
    <w:p>
      <w:pPr>
        <w:numPr>
          <w:ilvl w:val="0"/>
          <w:numId w:val="1002"/>
        </w:numPr>
        <w:pStyle w:val="Compact"/>
      </w:pPr>
      <w:r>
        <w:t xml:space="preserve">Which intervention classes show preclinical efficacy against QS-dependent phenotypes, and what is the magnitude and consistency of the reported effect sizes?</w:t>
      </w:r>
    </w:p>
    <w:p>
      <w:pPr>
        <w:numPr>
          <w:ilvl w:val="0"/>
          <w:numId w:val="1002"/>
        </w:numPr>
        <w:pStyle w:val="Compact"/>
      </w:pPr>
      <w:r>
        <w:t xml:space="preserve">What is the state of in vivo and clinical translation of QS-targeting interventions, and which models, doses and endpoints have been used?</w:t>
      </w:r>
    </w:p>
    <w:p>
      <w:pPr>
        <w:numPr>
          <w:ilvl w:val="0"/>
          <w:numId w:val="1002"/>
        </w:numPr>
        <w:pStyle w:val="Compact"/>
      </w:pPr>
      <w:r>
        <w:t xml:space="preserve">What are the methodological quality patterns, reporting gaps and reproducibility constraints that should guide the design of future translational studies?</w:t>
      </w:r>
    </w:p>
    <w:p>
      <w:pPr>
        <w:pStyle w:val="FirstParagraph"/>
      </w:pPr>
      <w:r>
        <w:t xml:space="preserve">The methods used to address these questions, including eligibility criteria, search strategy, data extraction and quality assessment, are detailed in Section 2.</w:t>
      </w:r>
    </w:p>
    <w:p>
      <w:r>
        <w:pict>
          <v:rect style="width:0;height:1.5pt" o:hralign="center" o:hrstd="t" o:hr="t"/>
        </w:pict>
      </w:r>
    </w:p>
    <w:bookmarkEnd w:id="26"/>
    <w:bookmarkEnd w:id="27"/>
    <w:bookmarkStart w:id="39" w:name="X13a0e8c10c405dd53d0e570bcbfcb0c8de7ee9e"/>
    <w:p>
      <w:pPr>
        <w:pStyle w:val="Heading2"/>
      </w:pPr>
      <w:r>
        <w:t xml:space="preserve">2. Methods</w:t>
      </w:r>
    </w:p>
    <w:p>
      <w:pPr>
        <w:pStyle w:val="FirstParagraph"/>
      </w:pPr>
      <w:r>
        <w:t xml:space="preserve">This systematic review was designed, conducted and reported in accordance with the Preferred Reporting Items for Systematic Reviews and Meta-Analyses 2020 statement (PRISMA 2020) [81], the PRISMA-S extension for reporting literature searches [82] and, for the planned narrative synthesis, the Synthesis Without Meta-analysis (SWiM) guideline [83]. The completed PRISMA 2020 checklist is provided as Supplementary Material S1.</w:t>
      </w:r>
    </w:p>
    <w:bookmarkStart w:id="28" w:name="X88ad14bb830f5babb4df8772bda1c8f3fc53f86"/>
    <w:p>
      <w:pPr>
        <w:pStyle w:val="Heading3"/>
      </w:pPr>
      <w:r>
        <w:t xml:space="preserve">2.1 Protocol and registration</w:t>
      </w:r>
    </w:p>
    <w:p>
      <w:pPr>
        <w:pStyle w:val="FirstParagraph"/>
      </w:pPr>
      <w:r>
        <w:t xml:space="preserve">The review protocol was drafted before screening commenced and is archived at</w:t>
      </w:r>
      <w:r>
        <w:t xml:space="preserve"> </w:t>
      </w:r>
      <w:r>
        <w:rPr>
          <w:rStyle w:val="VerbatimChar"/>
        </w:rPr>
        <w:t xml:space="preserve">/01-protocol.md</w:t>
      </w:r>
      <w:r>
        <w:t xml:space="preserve"> </w:t>
      </w:r>
      <w:r>
        <w:t xml:space="preserve">of the project repository (version v0.2, 17 May 2026). The protocol specifies the review question, eligibility criteria, information sources, search strategy, screening procedure, data-extraction items, risk-of-bias instruments, synthesis approach and reporting framework. Registration of the protocol on the International Prospective Register of Systematic Reviews (PROSPERO) is planned; the CRD identifier will be inserted at the time of journal submission. Substantive deviations from the protocol — most importantly, the current restriction of the executed search to a single bibliographic database — are flagged explicitly throughout this section and are summarised in Supplementary Table S2.</w:t>
      </w:r>
    </w:p>
    <w:bookmarkEnd w:id="28"/>
    <w:bookmarkStart w:id="29" w:name="X6dcff562cd27d77a8f954ab896b1cc2777b80b1"/>
    <w:p>
      <w:pPr>
        <w:pStyle w:val="Heading3"/>
      </w:pPr>
      <w:r>
        <w:t xml:space="preserve">2.2 Eligibility criteria</w:t>
      </w:r>
    </w:p>
    <w:p>
      <w:pPr>
        <w:pStyle w:val="FirstParagraph"/>
      </w:pPr>
      <w:r>
        <w:t xml:space="preserve">Records were eligible for inclusion if they met all of the following criteria:</w:t>
      </w:r>
    </w:p>
    <w:p>
      <w:pPr>
        <w:numPr>
          <w:ilvl w:val="0"/>
          <w:numId w:val="1003"/>
        </w:numPr>
        <w:pStyle w:val="Compact"/>
      </w:pPr>
      <w:r>
        <w:rPr>
          <w:bCs/>
          <w:b/>
        </w:rPr>
        <w:t xml:space="preserve">Population:</w:t>
      </w:r>
      <w:r>
        <w:t xml:space="preserve"> </w:t>
      </w:r>
      <w:r>
        <w:rPr>
          <w:iCs/>
          <w:i/>
        </w:rPr>
        <w:t xml:space="preserve">Acinetobacter baumannii</w:t>
      </w:r>
      <w:r>
        <w:t xml:space="preserve">, including reference strains (e.g. ATCC 17978, ATCC 19606, AB5075, LAC-4), clinical isolates of any resistance phenotype, and environmental isolates.</w:t>
      </w:r>
    </w:p>
    <w:p>
      <w:pPr>
        <w:numPr>
          <w:ilvl w:val="0"/>
          <w:numId w:val="1003"/>
        </w:numPr>
        <w:pStyle w:val="Compact"/>
      </w:pPr>
      <w:r>
        <w:rPr>
          <w:bCs/>
          <w:b/>
        </w:rPr>
        <w:t xml:space="preserve">Exposure/intervention:</w:t>
      </w:r>
      <w:r>
        <w:t xml:space="preserve"> </w:t>
      </w:r>
      <w:r>
        <w:t xml:space="preserve">Any investigation of QS or QS-related signalling in</w:t>
      </w:r>
      <w:r>
        <w:t xml:space="preserve"> </w:t>
      </w:r>
      <w:r>
        <w:rPr>
          <w:iCs/>
          <w:i/>
        </w:rPr>
        <w:t xml:space="preserve">A. baumannii</w:t>
      </w:r>
      <w:r>
        <w:t xml:space="preserve">, including descriptive (e.g. AHL profiling,</w:t>
      </w:r>
      <w:r>
        <w:t xml:space="preserve"> </w:t>
      </w:r>
      <w:r>
        <w:rPr>
          <w:iCs/>
          <w:i/>
        </w:rPr>
        <w:t xml:space="preserve">abaI/abaR/abaM</w:t>
      </w:r>
      <w:r>
        <w:t xml:space="preserve"> </w:t>
      </w:r>
      <w:r>
        <w:t xml:space="preserve">expression, comparative genomics), mechanistic (e.g. gene-deletion, complementation, transcriptomic/proteomic perturbation) or interventional (small-molecule QSI, natural product, synthetic compound, peptide, antimicrobial peptide, enzymatic quorum quencher, QS-targeting bacteriophage, nanoparticle-delivered agent, repurposed drug, antibody, vaccine) studies.</w:t>
      </w:r>
    </w:p>
    <w:p>
      <w:pPr>
        <w:numPr>
          <w:ilvl w:val="0"/>
          <w:numId w:val="1003"/>
        </w:numPr>
        <w:pStyle w:val="Compact"/>
      </w:pPr>
      <w:r>
        <w:rPr>
          <w:bCs/>
          <w:b/>
        </w:rPr>
        <w:t xml:space="preserve">Outcome:</w:t>
      </w:r>
      <w:r>
        <w:t xml:space="preserve"> </w:t>
      </w:r>
      <w:r>
        <w:t xml:space="preserve">At least one quantitative outcome relevant to QS biology or QS-targeting therapy, including biofilm mass or architecture, motility, virulence-factor expression or activity, MIC/MBEC/FIC, gene or protein expression of QS-network components, in vivo bacterial burden or host survival, or clinical correlates.</w:t>
      </w:r>
    </w:p>
    <w:p>
      <w:pPr>
        <w:numPr>
          <w:ilvl w:val="0"/>
          <w:numId w:val="1003"/>
        </w:numPr>
        <w:pStyle w:val="Compact"/>
      </w:pPr>
      <w:r>
        <w:rPr>
          <w:bCs/>
          <w:b/>
        </w:rPr>
        <w:t xml:space="preserve">Study design:</w:t>
      </w:r>
      <w:r>
        <w:t xml:space="preserve"> </w:t>
      </w:r>
      <w:r>
        <w:t xml:space="preserve">Original research (in vitro, in vivo animal, in silico, omics, ex vivo, clinical) or peer-reviewed review/meta-analysis.</w:t>
      </w:r>
    </w:p>
    <w:p>
      <w:pPr>
        <w:numPr>
          <w:ilvl w:val="0"/>
          <w:numId w:val="1003"/>
        </w:numPr>
        <w:pStyle w:val="Compact"/>
      </w:pPr>
      <w:r>
        <w:rPr>
          <w:bCs/>
          <w:b/>
        </w:rPr>
        <w:t xml:space="preserve">Language:</w:t>
      </w:r>
      <w:r>
        <w:t xml:space="preserve"> </w:t>
      </w:r>
      <w:r>
        <w:t xml:space="preserve">English.</w:t>
      </w:r>
    </w:p>
    <w:p>
      <w:pPr>
        <w:numPr>
          <w:ilvl w:val="0"/>
          <w:numId w:val="1003"/>
        </w:numPr>
        <w:pStyle w:val="Compact"/>
      </w:pPr>
      <w:r>
        <w:rPr>
          <w:bCs/>
          <w:b/>
        </w:rPr>
        <w:t xml:space="preserve">Publication date:</w:t>
      </w:r>
      <w:r>
        <w:t xml:space="preserve"> </w:t>
      </w:r>
      <w:r>
        <w:t xml:space="preserve">1 May 2003 to 17 May 2025.</w:t>
      </w:r>
    </w:p>
    <w:p>
      <w:pPr>
        <w:numPr>
          <w:ilvl w:val="0"/>
          <w:numId w:val="1003"/>
        </w:numPr>
        <w:pStyle w:val="Compact"/>
      </w:pPr>
      <w:r>
        <w:rPr>
          <w:bCs/>
          <w:b/>
        </w:rPr>
        <w:t xml:space="preserve">Publication type:</w:t>
      </w:r>
      <w:r>
        <w:t xml:space="preserve"> </w:t>
      </w:r>
      <w:r>
        <w:t xml:space="preserve">Peer-reviewed full-text article.</w:t>
      </w:r>
    </w:p>
    <w:p>
      <w:pPr>
        <w:pStyle w:val="FirstParagraph"/>
      </w:pPr>
      <w:r>
        <w:t xml:space="preserve">Records were excluded if they (i) were conference abstracts, theses, editorials, letters without primary data, or pre-prints not subsequently peer-reviewed; (ii) reported</w:t>
      </w:r>
      <w:r>
        <w:t xml:space="preserve"> </w:t>
      </w:r>
      <w:r>
        <w:rPr>
          <w:iCs/>
          <w:i/>
        </w:rPr>
        <w:t xml:space="preserve">Acinetobacter</w:t>
      </w:r>
      <w:r>
        <w:t xml:space="preserve"> </w:t>
      </w:r>
      <w:r>
        <w:t xml:space="preserve">genus-level data without separable</w:t>
      </w:r>
      <w:r>
        <w:t xml:space="preserve"> </w:t>
      </w:r>
      <w:r>
        <w:rPr>
          <w:iCs/>
          <w:i/>
        </w:rPr>
        <w:t xml:space="preserve">A. baumannii</w:t>
      </w:r>
      <w:r>
        <w:t xml:space="preserve"> </w:t>
      </w:r>
      <w:r>
        <w:t xml:space="preserve">findings; (iii) addressed QS in other species using</w:t>
      </w:r>
      <w:r>
        <w:t xml:space="preserve"> </w:t>
      </w:r>
      <w:r>
        <w:rPr>
          <w:iCs/>
          <w:i/>
        </w:rPr>
        <w:t xml:space="preserve">A. baumannii</w:t>
      </w:r>
      <w:r>
        <w:t xml:space="preserve"> </w:t>
      </w:r>
      <w:r>
        <w:t xml:space="preserve">only as a comparator without species-specific QS outcomes; (iv) had been formally retracted; or (v) were not retrievable in full text after three documented attempts via the publisher, PubMed Central and institutional interlibrary loan. Purely in silico studies without any experimental or curated-dataset support were retained but tabulated separately for sensitivity analysis.</w:t>
      </w:r>
    </w:p>
    <w:bookmarkEnd w:id="29"/>
    <w:bookmarkStart w:id="30" w:name="X414ab1682b2afe8c15d5a843064dd5b07030c63"/>
    <w:p>
      <w:pPr>
        <w:pStyle w:val="Heading3"/>
      </w:pPr>
      <w:r>
        <w:t xml:space="preserve">2.3 Information sources</w:t>
      </w:r>
    </w:p>
    <w:p>
      <w:pPr>
        <w:pStyle w:val="FirstParagraph"/>
      </w:pPr>
      <w:r>
        <w:t xml:space="preserve">The protocol specifies a four-database core search (PubMed/MEDLINE, Scopus, Web of Science Core Collection, Embase) with Cochrane Library as a confirmatory search for controlled trials. In the present version (v1) the executed search was restricted to</w:t>
      </w:r>
      <w:r>
        <w:t xml:space="preserve"> </w:t>
      </w:r>
      <w:r>
        <w:rPr>
          <w:bCs/>
          <w:b/>
        </w:rPr>
        <w:t xml:space="preserve">PubMed/MEDLINE</w:t>
      </w:r>
      <w:r>
        <w:t xml:space="preserve">, queried on 17 May 2026; the resulting 340 records constitute the corpus analysed here. The decision to release v1 with a single database reflects the technical maturity of the PubMed search and the desire to allow community feedback on the synthesis framework before extending. The remaining three core databases plus Cochrane Library will be searched, and the merged corpus deduplicated and re-screened, for the v2 submission; the complete syntaxes for each database are provided in Supplementary Material S2 (reproducing</w:t>
      </w:r>
      <w:r>
        <w:t xml:space="preserve"> </w:t>
      </w:r>
      <w:r>
        <w:rPr>
          <w:rStyle w:val="VerbatimChar"/>
        </w:rPr>
        <w:t xml:space="preserve">/02-search-strategies.md</w:t>
      </w:r>
      <w:r>
        <w:t xml:space="preserve"> </w:t>
      </w:r>
      <w:r>
        <w:t xml:space="preserve">of the repository). As supplementary information sources we additionally interrogated the</w:t>
      </w:r>
      <w:r>
        <w:t xml:space="preserve"> </w:t>
      </w:r>
      <w:r>
        <w:rPr>
          <w:bCs/>
          <w:b/>
        </w:rPr>
        <w:t xml:space="preserve">OpenAlex</w:t>
      </w:r>
      <w:r>
        <w:t xml:space="preserve"> </w:t>
      </w:r>
      <w:r>
        <w:t xml:space="preserve">and</w:t>
      </w:r>
      <w:r>
        <w:t xml:space="preserve"> </w:t>
      </w:r>
      <w:r>
        <w:rPr>
          <w:bCs/>
          <w:b/>
        </w:rPr>
        <w:t xml:space="preserve">Crossref</w:t>
      </w:r>
      <w:r>
        <w:t xml:space="preserve"> </w:t>
      </w:r>
      <w:r>
        <w:t xml:space="preserve">application programming interfaces to cross-validate metadata and to capture records indexed with non-standard MeSH terms; these queries were used for metadata enrichment and reference-list reconstruction rather than as primary identification sources, and are documented in the search log. Forward and backward citation chasing of all included studies (Web of Science "Cited Reference Search" plus OpenAlex citation network) is planned in v2.</w:t>
      </w:r>
    </w:p>
    <w:bookmarkEnd w:id="30"/>
    <w:bookmarkStart w:id="31" w:name="X2466d014b60220f9f2f1471e602891482853388"/>
    <w:p>
      <w:pPr>
        <w:pStyle w:val="Heading3"/>
      </w:pPr>
      <w:r>
        <w:t xml:space="preserve">2.4 Search strategy</w:t>
      </w:r>
    </w:p>
    <w:p>
      <w:pPr>
        <w:pStyle w:val="FirstParagraph"/>
      </w:pPr>
      <w:r>
        <w:t xml:space="preserve">The PubMed strategy combined controlled vocabulary (MeSH) with title/abstract free-text terms for the population and intervention concepts, joined by Boolean operators. The full query as executed was:</w:t>
      </w:r>
    </w:p>
    <w:p>
      <w:pPr>
        <w:pStyle w:val="SourceCode"/>
      </w:pPr>
      <w:r>
        <w:rPr>
          <w:rStyle w:val="VerbatimChar"/>
        </w:rPr>
        <w:t xml:space="preserve">("Acinetobacter baumannii"[MeSH] OR "Acinetobacter baumannii"[tiab] OR "A. baumannii"[tiab])</w:t>
      </w:r>
      <w:r>
        <w:br/>
      </w:r>
      <w:r>
        <w:rPr>
          <w:rStyle w:val="VerbatimChar"/>
        </w:rPr>
        <w:t xml:space="preserve">AND</w:t>
      </w:r>
      <w:r>
        <w:br/>
      </w:r>
      <w:r>
        <w:rPr>
          <w:rStyle w:val="VerbatimChar"/>
        </w:rPr>
        <w:t xml:space="preserve">("quorum sensing"[tiab] OR "quorum-sensing"[tiab] OR "quorum quenching"[tiab]</w:t>
      </w:r>
      <w:r>
        <w:br/>
      </w:r>
      <w:r>
        <w:rPr>
          <w:rStyle w:val="VerbatimChar"/>
        </w:rPr>
        <w:t xml:space="preserve"> OR "quorum-quenching"[tiab] OR "abaI"[tiab] OR "abaR"[tiab] OR "abaM"[tiab]</w:t>
      </w:r>
      <w:r>
        <w:br/>
      </w:r>
      <w:r>
        <w:rPr>
          <w:rStyle w:val="VerbatimChar"/>
        </w:rPr>
        <w:t xml:space="preserve"> OR "autoinducer"[tiab]</w:t>
      </w:r>
      <w:r>
        <w:br/>
      </w:r>
      <w:r>
        <w:rPr>
          <w:rStyle w:val="VerbatimChar"/>
        </w:rPr>
        <w:t xml:space="preserve"> OR "acyl homoserine lactone"[tiab] OR "acyl-homoserine lactone"[tiab]</w:t>
      </w:r>
      <w:r>
        <w:br/>
      </w:r>
      <w:r>
        <w:rPr>
          <w:rStyle w:val="VerbatimChar"/>
        </w:rPr>
        <w:t xml:space="preserve"> OR "N-acyl homoserine lactone"[tiab] OR "AHL"[tiab]</w:t>
      </w:r>
      <w:r>
        <w:br/>
      </w:r>
      <w:r>
        <w:rPr>
          <w:rStyle w:val="VerbatimChar"/>
        </w:rPr>
        <w:t xml:space="preserve"> OR "3-hydroxy-dodecanoyl-homoserine"[tiab] OR "3-OH-C12-HSL"[tiab]</w:t>
      </w:r>
      <w:r>
        <w:br/>
      </w:r>
      <w:r>
        <w:rPr>
          <w:rStyle w:val="VerbatimChar"/>
        </w:rPr>
        <w:t xml:space="preserve"> OR "LuxI"[tiab] OR "LuxR"[tiab])</w:t>
      </w:r>
      <w:r>
        <w:br/>
      </w:r>
      <w:r>
        <w:rPr>
          <w:rStyle w:val="VerbatimChar"/>
        </w:rPr>
        <w:t xml:space="preserve">AND ("2003/01/01"[PDAT] : "2025/12/31"[PDAT])</w:t>
      </w:r>
      <w:r>
        <w:br/>
      </w:r>
      <w:r>
        <w:rPr>
          <w:rStyle w:val="VerbatimChar"/>
        </w:rPr>
        <w:t xml:space="preserve">AND English[Language]</w:t>
      </w:r>
    </w:p>
    <w:p>
      <w:pPr>
        <w:pStyle w:val="FirstParagraph"/>
      </w:pPr>
      <w:r>
        <w:t xml:space="preserve">No publication-type filter was applied at the database level; document-type filtering was carried out manually during screening to avoid the loss of relevant records mis-indexed at source. For Scopus, Web of Science, Embase and Cochrane (v2), the PICO concepts and Boolean structure are preserved while syntax, controlled vocabulary (Emtree, Keywords Plus) and field tags are adapted database-by-database (Supplementary Material S2). The PRISMA-S checklist for search reporting is supplied as Supplementary Material S3.</w:t>
      </w:r>
    </w:p>
    <w:bookmarkEnd w:id="31"/>
    <w:bookmarkStart w:id="32" w:name="X00618dcf14f79128075f63c6f0983eb39b799ee"/>
    <w:p>
      <w:pPr>
        <w:pStyle w:val="Heading3"/>
      </w:pPr>
      <w:r>
        <w:t xml:space="preserve">2.5 Study selection</w:t>
      </w:r>
    </w:p>
    <w:p>
      <w:pPr>
        <w:pStyle w:val="FirstParagraph"/>
      </w:pPr>
      <w:r>
        <w:t xml:space="preserve">Records identified by the PubMed search (n = 340) were imported into a reference manager and de-duplicated by DOI and PMID followed by fuzzy title-plus-year matching (2 duplicates removed; 338 unique records advanced). In v1 the screening was performed by a single reviewer with structured cross-checks against the data-extraction form; this design limitation is acknowledged and addressed in Section 5 (Limitations). In v2, screening will be performed in duplicate and independently by two reviewers (R1, R2) using Rayyan or Covidence at both the title/abstract and full-text stages. Inter-rater agreement will be assessed by Cohen's κ with a calibration target of κ ≥ 0.75 prior to formal screening; disagreements will be resolved by discussion and, where necessary, by adjudication from a third reviewer (R3). Reasons for full-text exclusion will be recorded against a pre-defined list (wrong population, wrong exposure, wrong outcome, wrong design, full text unavailable, retraction). The flow of records from identification through inclusion is summarised in the PRISMA 2020 flow diagram (Figure 1).</w:t>
      </w:r>
    </w:p>
    <w:bookmarkEnd w:id="32"/>
    <w:bookmarkStart w:id="33" w:name="X562ae66437358787a05229f35673c8be53c84ca"/>
    <w:p>
      <w:pPr>
        <w:pStyle w:val="Heading3"/>
      </w:pPr>
      <w:r>
        <w:t xml:space="preserve">2.6 Data extraction</w:t>
      </w:r>
    </w:p>
    <w:p>
      <w:pPr>
        <w:pStyle w:val="FirstParagraph"/>
      </w:pPr>
      <w:r>
        <w:t xml:space="preserve">A standardised data-extraction form (</w:t>
      </w:r>
      <w:r>
        <w:rPr>
          <w:rStyle w:val="VerbatimChar"/>
        </w:rPr>
        <w:t xml:space="preserve">/04-data-extraction-form.md</w:t>
      </w:r>
      <w:r>
        <w:t xml:space="preserve">, v1.0, 17 May 2026) was developed and piloted on ten randomly selected records spanning all major study types. The form comprises five sections: (A) bibliographic identifiers and funding/COI; (B) study design and population (strains, isolate provenance, resistance phenotype, QS target); (C) study-type-specific items, including MIC and biofilm assay methods, motility and virulence assays, AHL quantitation, gene-expression targets, synergy testing and cytotoxicity for in vitro studies; docking software, binding-energy reporting, molecular-dynamics duration and in vitro validation for in silico studies; species, infection model, inoculum, treatment regimen, endpoints, IACUC approval and ARRIVE 2.0 compliance for animal studies; omics modality, replicates, platform, deposited accession and bioinformatics pipeline for omics studies; design, sample size, population and IRB approval for clinical studies; (D) risk-of-bias items (Section 2.7); and (E) primary outcome measure, effect size, confidence interval, statistical test, p-value, replicability of raw data and a single-sentence summary of the principal finding. In v1, extraction was performed by a single reviewer; for v2, dual independent extraction with discrepancy adjudication will be implemented, and inter-rater reliability (Cohen's κ for categorical items, intraclass correlation for continuous items) reported.</w:t>
      </w:r>
    </w:p>
    <w:bookmarkEnd w:id="33"/>
    <w:bookmarkStart w:id="34" w:name="X5b7bf506cbdd3e1f5a204f0213f803a7319ae8a"/>
    <w:p>
      <w:pPr>
        <w:pStyle w:val="Heading3"/>
      </w:pPr>
      <w:r>
        <w:t xml:space="preserve">2.7 Risk of bias and methodological quality assessment</w:t>
      </w:r>
    </w:p>
    <w:p>
      <w:pPr>
        <w:pStyle w:val="FirstParagraph"/>
      </w:pPr>
      <w:r>
        <w:t xml:space="preserve">Risk of bias was assessed using design-appropriate instruments:</w:t>
      </w:r>
    </w:p>
    <w:p>
      <w:pPr>
        <w:numPr>
          <w:ilvl w:val="0"/>
          <w:numId w:val="1004"/>
        </w:numPr>
        <w:pStyle w:val="Compact"/>
      </w:pPr>
      <w:r>
        <w:rPr>
          <w:bCs/>
          <w:b/>
        </w:rPr>
        <w:t xml:space="preserve">In vitro studies:</w:t>
      </w:r>
      <w:r>
        <w:t xml:space="preserve"> </w:t>
      </w:r>
      <w:r>
        <w:t xml:space="preserve">A modified CRIS (Consensus on Reporting In vitro Studies) checklist [84], extended with items capturing biological/technical replicate number, strain provenance, blinded outcome assessment and statistical handling.</w:t>
      </w:r>
    </w:p>
    <w:p>
      <w:pPr>
        <w:numPr>
          <w:ilvl w:val="0"/>
          <w:numId w:val="1004"/>
        </w:numPr>
        <w:pStyle w:val="Compact"/>
      </w:pPr>
      <w:r>
        <w:rPr>
          <w:bCs/>
          <w:b/>
        </w:rPr>
        <w:t xml:space="preserve">Animal (in vivo) studies:</w:t>
      </w:r>
      <w:r>
        <w:t xml:space="preserve"> </w:t>
      </w:r>
      <w:r>
        <w:t xml:space="preserve">SYRCLE Risk of Bias Tool [85] supplemented by ARRIVE 2.0 reporting items [86].</w:t>
      </w:r>
    </w:p>
    <w:p>
      <w:pPr>
        <w:numPr>
          <w:ilvl w:val="0"/>
          <w:numId w:val="1004"/>
        </w:numPr>
        <w:pStyle w:val="Compact"/>
      </w:pPr>
      <w:r>
        <w:rPr>
          <w:bCs/>
          <w:b/>
        </w:rPr>
        <w:t xml:space="preserve">Observational clinical studies:</w:t>
      </w:r>
      <w:r>
        <w:t xml:space="preserve"> </w:t>
      </w:r>
      <w:r>
        <w:t xml:space="preserve">JBI Critical Appraisal Checklists (analytical cross-sectional, cohort or case series, as appropriate) [87]; the Newcastle–Ottawa Scale will be used where cohort comparisons are reported [88].</w:t>
      </w:r>
    </w:p>
    <w:p>
      <w:pPr>
        <w:numPr>
          <w:ilvl w:val="0"/>
          <w:numId w:val="1004"/>
        </w:numPr>
        <w:pStyle w:val="Compact"/>
      </w:pPr>
      <w:r>
        <w:rPr>
          <w:bCs/>
          <w:b/>
        </w:rPr>
        <w:t xml:space="preserve">Randomised clinical trials:</w:t>
      </w:r>
      <w:r>
        <w:t xml:space="preserve"> </w:t>
      </w:r>
      <w:r>
        <w:t xml:space="preserve">Cochrane RoB 2.0 [89]. Given the topic, RCTs are not anticipated in the v1 corpus.</w:t>
      </w:r>
    </w:p>
    <w:p>
      <w:pPr>
        <w:numPr>
          <w:ilvl w:val="0"/>
          <w:numId w:val="1004"/>
        </w:numPr>
        <w:pStyle w:val="Compact"/>
      </w:pPr>
      <w:r>
        <w:rPr>
          <w:bCs/>
          <w:b/>
        </w:rPr>
        <w:t xml:space="preserve">In silico studies:</w:t>
      </w:r>
      <w:r>
        <w:t xml:space="preserve"> </w:t>
      </w:r>
      <w:r>
        <w:t xml:space="preserve">A CHARMS-modified checklist [90] covering target validity, software validation, conformational sampling and external validation.</w:t>
      </w:r>
    </w:p>
    <w:p>
      <w:pPr>
        <w:numPr>
          <w:ilvl w:val="0"/>
          <w:numId w:val="1004"/>
        </w:numPr>
        <w:pStyle w:val="Compact"/>
      </w:pPr>
      <w:r>
        <w:rPr>
          <w:bCs/>
          <w:b/>
        </w:rPr>
        <w:t xml:space="preserve">Omics studies:</w:t>
      </w:r>
      <w:r>
        <w:t xml:space="preserve"> </w:t>
      </w:r>
      <w:r>
        <w:t xml:space="preserve">MIQE for qPCR datasets [91] and MINSEQE-aligned criteria for high-throughput sequencing, including accession deposition and analysis-pipeline transparency.</w:t>
      </w:r>
    </w:p>
    <w:p>
      <w:pPr>
        <w:pStyle w:val="FirstParagraph"/>
      </w:pPr>
      <w:r>
        <w:t xml:space="preserve">Each study will be appraised independently by two reviewers in v2, with disagreements resolved by a third reviewer; in v1, a single reviewer's judgement is reported and explicitly flagged. Domain-level judgements are summarised as low, some-concerns or high risk of bias and tabulated in Supplementary Tables S4–S9.</w:t>
      </w:r>
    </w:p>
    <w:bookmarkEnd w:id="34"/>
    <w:bookmarkStart w:id="35" w:name="X23c4a4aa4f670a656b26cfcddec41667cbc8afb"/>
    <w:p>
      <w:pPr>
        <w:pStyle w:val="Heading3"/>
      </w:pPr>
      <w:r>
        <w:t xml:space="preserve">2.8 Effect measures and synthesis</w:t>
      </w:r>
    </w:p>
    <w:p>
      <w:pPr>
        <w:pStyle w:val="FirstParagraph"/>
      </w:pPr>
      <w:r>
        <w:t xml:space="preserve">The primary outcomes for synthesis are: (i) biofilm inhibition expressed as percent reduction relative to control at a defined concentration; (ii) MIC and MBEC fold-change of an antibiotic co-administered with a QS-targeting agent; (iii) reduction in virulence factor activity or expression (protease, siderophore, motility, OMV, host-cell injury); and (iv) in vivo bacterial burden (log10 CFU reduction) and host survival (percent at defined time point). Secondary outcomes include AHL quantitation, QS-regulon gene-expression fold-change, cytotoxicity (IC50, selectivity index) and synergy classification (FIC index categories).</w:t>
      </w:r>
    </w:p>
    <w:p>
      <w:pPr>
        <w:pStyle w:val="BodyText"/>
      </w:pPr>
      <w:r>
        <w:t xml:space="preserve">Studies are grouped a priori by intervention class (natural product, synthetic small molecule, enzymatic quorum quencher, peptide/AMP, bacteriophage, nanoparticle, repurposed drug, antibody/vaccine, genetic perturbation) crossed with outcome domain, and by experimental system (in vitro, in vivo, in silico, omics, clinical). The synthesis is primarily narrative because of heterogeneity in strains, intervention concentrations, assay formats and outcome definitions, in line with SWiM guidance [83]. Where three or more comparable studies report a quantitative outcome in compatible units, we will explore random-effects meta-analysis using the DerSimonian–Laird estimator with Hartung–Knapp adjustment, presenting pooled standardised mean differences (Hedges' g) with 95% confidence intervals. Between-study heterogeneity will be quantified by τ² and I². Pre-specified sensitivity analyses include restriction by strain (ATCC 17978 only; clinical isolates only), assay format (crystal violet vs. confocal microscopy for biofilm; broth microdilution vs. E-test for MIC) and risk-of-bias judgement (excluding high-risk studies). Pre-specified subgroup analyses examine intervention class, isolate resistance phenotype (susceptible vs. CRAB/MDR/XDR) and exposure duration.</w:t>
      </w:r>
    </w:p>
    <w:bookmarkEnd w:id="35"/>
    <w:bookmarkStart w:id="36" w:name="X23c2a65d82c5bb53fd5d3190b9fef74642f591b"/>
    <w:p>
      <w:pPr>
        <w:pStyle w:val="Heading3"/>
      </w:pPr>
      <w:r>
        <w:t xml:space="preserve">2.9 Publication bias</w:t>
      </w:r>
    </w:p>
    <w:p>
      <w:pPr>
        <w:pStyle w:val="FirstParagraph"/>
      </w:pPr>
      <w:r>
        <w:t xml:space="preserve">For any outcome with ten or more eligible studies in a meta-analytic pool, funnel-plot asymmetry will be assessed visually and tested by Egger's regression [92]. With fewer than ten studies, small-study effects will be evaluated narratively, considering precision-weighted distributions, evidence of selective reporting within studies and the availability of pre-registered protocols.</w:t>
      </w:r>
    </w:p>
    <w:bookmarkEnd w:id="36"/>
    <w:bookmarkStart w:id="37" w:name="X85ff919566f357d21a41fb656f858e121e70694"/>
    <w:p>
      <w:pPr>
        <w:pStyle w:val="Heading3"/>
      </w:pPr>
      <w:r>
        <w:t xml:space="preserve">2.10 Certainty of evidence and reporting</w:t>
      </w:r>
    </w:p>
    <w:p>
      <w:pPr>
        <w:pStyle w:val="FirstParagraph"/>
      </w:pPr>
      <w:r>
        <w:t xml:space="preserve">The certainty of the body of evidence for each principal outcome will be rated using the GRADE framework [93], with downgrading for risk of bias, inconsistency, indirectness, imprecision and publication bias, and upgrading for large effect, dose–response gradient or plausible residual confounding favouring the null. The review is reported in accordance with PRISMA 2020 [81] for overall structure, PRISMA-S [82] for the literature search and SWiM [83] for the narrative synthesis; the PRISMA-NMA extension was not applicable because no network meta-analysis is conducted. All data-extraction forms, code, search logs and intermediate datasets are deposited on Zenodo (DOI to be issued at acceptance) and on the project repository.</w:t>
      </w:r>
    </w:p>
    <w:bookmarkEnd w:id="37"/>
    <w:bookmarkStart w:id="38" w:name="X93cd863ab1be051cf6ea2f004d6cbc7668f1237"/>
    <w:p>
      <w:pPr>
        <w:pStyle w:val="Heading3"/>
      </w:pPr>
      <w:r>
        <w:t xml:space="preserve">2.11 Summary of v1 versus v2 scope</w:t>
      </w:r>
    </w:p>
    <w:p>
      <w:pPr>
        <w:pStyle w:val="FirstParagraph"/>
      </w:pPr>
      <w:r>
        <w:t xml:space="preserve">To assist the reader and reviewers, Table 1 (Supplementary Material S2) summarises the items that differ between the present v1 manuscript and the planned v2 update: extension of the search from PubMed to PubMed + Scopus + Web of Science + Embase + Cochrane, transition from single-reviewer to dual-reviewer screening and extraction with κ reporting, addition of forward/backward citation chasing of included studies, formal PROSPERO registration and full GRADE assessment of all principal outcomes. The synthesis framework, eligibility criteria and risk-of-bias instruments are unchanged between versions.</w:t>
      </w:r>
    </w:p>
    <w:p>
      <w:r>
        <w:pict>
          <v:rect style="width:0;height:1.5pt" o:hralign="center" o:hrstd="t" o:hr="t"/>
        </w:pict>
      </w:r>
    </w:p>
    <w:bookmarkEnd w:id="38"/>
    <w:bookmarkEnd w:id="39"/>
    <w:bookmarkStart w:id="87" w:name="Xc0c84230492598220627d6d71355f36de6acb67"/>
    <w:p>
      <w:pPr>
        <w:pStyle w:val="Heading2"/>
      </w:pPr>
      <w:r>
        <w:t xml:space="preserve">3. Results</w:t>
      </w:r>
    </w:p>
    <w:bookmarkStart w:id="40" w:name="X6748d81022884b6e8f4f2e0584c4fe988a74aa3"/>
    <w:p>
      <w:pPr>
        <w:pStyle w:val="Heading3"/>
      </w:pPr>
      <w:r>
        <w:t xml:space="preserve">3.1 Study selection</w:t>
      </w:r>
    </w:p>
    <w:p>
      <w:pPr>
        <w:pStyle w:val="FirstParagraph"/>
      </w:pPr>
      <w:r>
        <w:t xml:space="preserve">The PRISMA 2020 study-selection flow is shown in</w:t>
      </w:r>
      <w:r>
        <w:t xml:space="preserve"> </w:t>
      </w:r>
      <w:r>
        <w:rPr>
          <w:bCs/>
          <w:b/>
        </w:rPr>
        <w:t xml:space="preserve">Figure 1</w:t>
      </w:r>
      <w:r>
        <w:t xml:space="preserve">. The PubMed-anchored search returned 340 records; integration with OpenAlex (351) and Crossref (3,060) API queries identified 3,313 unique records after deduplication. Of the 340 PubMed records, 264 (78%) were independently corroborated by OpenAlex and/or Crossref, validating the MEDLINE coverage. The present v1 analysis is based on the PubMed-anchored core (n=338 after removal of 2 internal duplicates) with 218 papers retrieved in full text and 122 abstracts only; the 2,975 additional Crossref/OpenAlex records await title/abstract screening in v2. Multi-database integration with Scopus, Web of Science, Embase and Cochrane Library is in progress (Supplementary S2/S3).</w:t>
      </w:r>
    </w:p>
    <w:bookmarkEnd w:id="40"/>
    <w:bookmarkStart w:id="43" w:name="figure-1--prisma-2020-flow-diagram"/>
    <w:p>
      <w:pPr>
        <w:pStyle w:val="Heading3"/>
      </w:pPr>
      <w:r>
        <w:t xml:space="preserve">Figure 1 — PRISMA 2020 Flow Diagram</w:t>
      </w:r>
    </w:p>
    <w:p>
      <w:pPr>
        <w:pStyle w:val="SourceCode"/>
      </w:pPr>
      <w:r>
        <w:rPr>
          <w:rStyle w:val="VerbatimChar"/>
        </w:rPr>
        <w:t xml:space="preserve">┌──────────────────────────────────────────────────────────────────────────────┐</w:t>
      </w:r>
      <w:r>
        <w:br/>
      </w:r>
      <w:r>
        <w:rPr>
          <w:rStyle w:val="VerbatimChar"/>
        </w:rPr>
        <w:t xml:space="preserve">│  IDENTIFICATION                                                              │</w:t>
      </w:r>
      <w:r>
        <w:br/>
      </w:r>
      <w:r>
        <w:rPr>
          <w:rStyle w:val="VerbatimChar"/>
        </w:rPr>
        <w:t xml:space="preserve">│                                                                              │</w:t>
      </w:r>
      <w:r>
        <w:br/>
      </w:r>
      <w:r>
        <w:rPr>
          <w:rStyle w:val="VerbatimChar"/>
        </w:rPr>
        <w:t xml:space="preserve">│  Records identified from databases:                                          │</w:t>
      </w:r>
      <w:r>
        <w:br/>
      </w:r>
      <w:r>
        <w:rPr>
          <w:rStyle w:val="VerbatimChar"/>
        </w:rPr>
        <w:t xml:space="preserve">│  • PubMed (MEDLINE)        n =  340                                          │</w:t>
      </w:r>
      <w:r>
        <w:br/>
      </w:r>
      <w:r>
        <w:rPr>
          <w:rStyle w:val="VerbatimChar"/>
        </w:rPr>
        <w:t xml:space="preserve">│  • OpenAlex (API)          n =  351                                          │</w:t>
      </w:r>
      <w:r>
        <w:br/>
      </w:r>
      <w:r>
        <w:rPr>
          <w:rStyle w:val="VerbatimChar"/>
        </w:rPr>
        <w:t xml:space="preserve">│  • Crossref (API)          n = 3,060                                         │</w:t>
      </w:r>
      <w:r>
        <w:br/>
      </w:r>
      <w:r>
        <w:rPr>
          <w:rStyle w:val="VerbatimChar"/>
        </w:rPr>
        <w:t xml:space="preserve">│  • Scopus                  n = pending (EKUAL export — v2)                   │</w:t>
      </w:r>
      <w:r>
        <w:br/>
      </w:r>
      <w:r>
        <w:rPr>
          <w:rStyle w:val="VerbatimChar"/>
        </w:rPr>
        <w:t xml:space="preserve">│  • Web of Science          n = pending (v2)                                  │</w:t>
      </w:r>
      <w:r>
        <w:br/>
      </w:r>
      <w:r>
        <w:rPr>
          <w:rStyle w:val="VerbatimChar"/>
        </w:rPr>
        <w:t xml:space="preserve">│  • Embase                  n = pending (v2)                                  │</w:t>
      </w:r>
      <w:r>
        <w:br/>
      </w:r>
      <w:r>
        <w:rPr>
          <w:rStyle w:val="VerbatimChar"/>
        </w:rPr>
        <w:t xml:space="preserve">│  • Cochrane Library        n = pending (v2)                                  │</w:t>
      </w:r>
      <w:r>
        <w:br/>
      </w:r>
      <w:r>
        <w:rPr>
          <w:rStyle w:val="VerbatimChar"/>
        </w:rPr>
        <w:t xml:space="preserve">│  • Hand-search / snowball  n = pending (v2)                                  │</w:t>
      </w:r>
      <w:r>
        <w:br/>
      </w:r>
      <w:r>
        <w:rPr>
          <w:rStyle w:val="VerbatimChar"/>
        </w:rPr>
        <w:t xml:space="preserve">│                                                                              │</w:t>
      </w:r>
      <w:r>
        <w:br/>
      </w:r>
      <w:r>
        <w:rPr>
          <w:rStyle w:val="VerbatimChar"/>
        </w:rPr>
        <w:t xml:space="preserve">│  Records before deduplication:   n = 3,751                                   │</w:t>
      </w:r>
      <w:r>
        <w:br/>
      </w:r>
      <w:r>
        <w:rPr>
          <w:rStyle w:val="VerbatimChar"/>
        </w:rPr>
        <w:t xml:space="preserve">│  Duplicates removed:             n =   438  (DOI/PMID/title-year match)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SCREENING                                                                   │</w:t>
      </w:r>
      <w:r>
        <w:br/>
      </w:r>
      <w:r>
        <w:rPr>
          <w:rStyle w:val="VerbatimChar"/>
        </w:rPr>
        <w:t xml:space="preserve">│                                                                              │</w:t>
      </w:r>
      <w:r>
        <w:br/>
      </w:r>
      <w:r>
        <w:rPr>
          <w:rStyle w:val="VerbatimChar"/>
        </w:rPr>
        <w:t xml:space="preserve">│  Records after deduplication:    n = 3,313                                   │</w:t>
      </w:r>
      <w:r>
        <w:br/>
      </w:r>
      <w:r>
        <w:rPr>
          <w:rStyle w:val="VerbatimChar"/>
        </w:rPr>
        <w:t xml:space="preserve">│  Records screened (title/abstract):                                          │</w:t>
      </w:r>
      <w:r>
        <w:br/>
      </w:r>
      <w:r>
        <w:rPr>
          <w:rStyle w:val="VerbatimChar"/>
        </w:rPr>
        <w:t xml:space="preserve">│   • PubMed-anchored core (v1):   n =   338  (fully characterised)            │</w:t>
      </w:r>
      <w:r>
        <w:br/>
      </w:r>
      <w:r>
        <w:rPr>
          <w:rStyle w:val="VerbatimChar"/>
        </w:rPr>
        <w:t xml:space="preserve">│   • Crossref/OpenAlex additions: n = 2,975  (awaiting v2 dual screening)     │</w:t>
      </w:r>
      <w:r>
        <w:br/>
      </w:r>
      <w:r>
        <w:rPr>
          <w:rStyle w:val="VerbatimChar"/>
        </w:rPr>
        <w:t xml:space="preserve">│                                                                              │</w:t>
      </w:r>
      <w:r>
        <w:br/>
      </w:r>
      <w:r>
        <w:rPr>
          <w:rStyle w:val="VerbatimChar"/>
        </w:rPr>
        <w:t xml:space="preserve">│  Records excluded at title/abstract (v1 automated):                          │</w:t>
      </w:r>
      <w:r>
        <w:br/>
      </w:r>
      <w:r>
        <w:rPr>
          <w:rStyle w:val="VerbatimChar"/>
        </w:rPr>
        <w:t xml:space="preserve">│   • Non-A. baumannii primary focus (Crossref noise)                          │</w:t>
      </w:r>
      <w:r>
        <w:br/>
      </w:r>
      <w:r>
        <w:rPr>
          <w:rStyle w:val="VerbatimChar"/>
        </w:rPr>
        <w:t xml:space="preserve">│   • Conference abstracts only                                                │</w:t>
      </w:r>
      <w:r>
        <w:br/>
      </w:r>
      <w:r>
        <w:rPr>
          <w:rStyle w:val="VerbatimChar"/>
        </w:rPr>
        <w:t xml:space="preserve">│   • Off-topic word-match hits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ELIGIBILITY                                                                 │</w:t>
      </w:r>
      <w:r>
        <w:br/>
      </w:r>
      <w:r>
        <w:rPr>
          <w:rStyle w:val="VerbatimChar"/>
        </w:rPr>
        <w:t xml:space="preserve">│                                                                              │</w:t>
      </w:r>
      <w:r>
        <w:br/>
      </w:r>
      <w:r>
        <w:rPr>
          <w:rStyle w:val="VerbatimChar"/>
        </w:rPr>
        <w:t xml:space="preserve">│  Full-text articles assessed (v1):    n =  228                               │</w:t>
      </w:r>
      <w:r>
        <w:br/>
      </w:r>
      <w:r>
        <w:rPr>
          <w:rStyle w:val="VerbatimChar"/>
        </w:rPr>
        <w:t xml:space="preserve">│    • Of these from PubMed corpus      n =  218                               │</w:t>
      </w:r>
      <w:r>
        <w:br/>
      </w:r>
      <w:r>
        <w:rPr>
          <w:rStyle w:val="VerbatimChar"/>
        </w:rPr>
        <w:t xml:space="preserve">│    • PDF/manual download              n =   10                               │</w:t>
      </w:r>
      <w:r>
        <w:br/>
      </w:r>
      <w:r>
        <w:rPr>
          <w:rStyle w:val="VerbatimChar"/>
        </w:rPr>
        <w:t xml:space="preserve">│  Abstract-only records (v1):          n =  112                               │</w:t>
      </w:r>
      <w:r>
        <w:br/>
      </w:r>
      <w:r>
        <w:rPr>
          <w:rStyle w:val="VerbatimChar"/>
        </w:rPr>
        <w:t xml:space="preserve">│                                                                              │</w:t>
      </w:r>
      <w:r>
        <w:br/>
      </w:r>
      <w:r>
        <w:rPr>
          <w:rStyle w:val="VerbatimChar"/>
        </w:rPr>
        <w:t xml:space="preserve">│  Records excluded with reasons:       n = pending (v2 dual reviewer)         │</w:t>
      </w:r>
      <w:r>
        <w:br/>
      </w:r>
      <w:r>
        <w:rPr>
          <w:rStyle w:val="VerbatimChar"/>
        </w:rPr>
        <w:t xml:space="preserve">│   • Not A. baumannii primary subject                                         │</w:t>
      </w:r>
      <w:r>
        <w:br/>
      </w:r>
      <w:r>
        <w:rPr>
          <w:rStyle w:val="VerbatimChar"/>
        </w:rPr>
        <w:t xml:space="preserve">│   • No QS-related outcome                                                    │</w:t>
      </w:r>
      <w:r>
        <w:br/>
      </w:r>
      <w:r>
        <w:rPr>
          <w:rStyle w:val="VerbatimChar"/>
        </w:rPr>
        <w:t xml:space="preserve">│   • Retraction / erratum / preprint-published pair                           │</w:t>
      </w:r>
      <w:r>
        <w:br/>
      </w:r>
      <w:r>
        <w:rPr>
          <w:rStyle w:val="VerbatimChar"/>
        </w:rPr>
        <w:t xml:space="preserve">│   • Non-English (post-translation review)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INCLUDED (v1 first-pass synthesis)                                          │</w:t>
      </w:r>
      <w:r>
        <w:br/>
      </w:r>
      <w:r>
        <w:rPr>
          <w:rStyle w:val="VerbatimChar"/>
        </w:rPr>
        <w:t xml:space="preserve">│                                                                              │</w:t>
      </w:r>
      <w:r>
        <w:br/>
      </w:r>
      <w:r>
        <w:rPr>
          <w:rStyle w:val="VerbatimChar"/>
        </w:rPr>
        <w:t xml:space="preserve">│  Studies in qualitative synthesis:    n =  338  (PubMed-anchored corpus)     │</w:t>
      </w:r>
      <w:r>
        <w:br/>
      </w:r>
      <w:r>
        <w:rPr>
          <w:rStyle w:val="VerbatimChar"/>
        </w:rPr>
        <w:t xml:space="preserve">│  Studies in quantitative synthesis:   n = pending (meta-analysis — v2)       │</w:t>
      </w:r>
      <w:r>
        <w:br/>
      </w:r>
      <w:r>
        <w:rPr>
          <w:rStyle w:val="VerbatimChar"/>
        </w:rPr>
        <w:t xml:space="preserve">│                                                                              │</w:t>
      </w:r>
      <w:r>
        <w:br/>
      </w:r>
      <w:r>
        <w:rPr>
          <w:rStyle w:val="VerbatimChar"/>
        </w:rPr>
        <w:t xml:space="preserve">│  Cross-database corroboration:                                               │</w:t>
      </w:r>
      <w:r>
        <w:br/>
      </w:r>
      <w:r>
        <w:rPr>
          <w:rStyle w:val="VerbatimChar"/>
        </w:rPr>
        <w:t xml:space="preserve">│    • Records in &gt;=2 sources              n =  291  (87% of analytic set)     │</w:t>
      </w:r>
      <w:r>
        <w:br/>
      </w:r>
      <w:r>
        <w:rPr>
          <w:rStyle w:val="VerbatimChar"/>
        </w:rPr>
        <w:t xml:space="preserve">│    • Records in all 3 sources (PM+OA+CR) n =  101                            │</w:t>
      </w:r>
      <w:r>
        <w:br/>
      </w:r>
      <w:r>
        <w:rPr>
          <w:rStyle w:val="VerbatimChar"/>
        </w:rPr>
        <w:t xml:space="preserve">└──────────────────────────────────────────────────────────────────────────────┘</w:t>
      </w:r>
    </w:p>
    <w:bookmarkStart w:id="41" w:name="cross-database-coverage-validation"/>
    <w:p>
      <w:pPr>
        <w:pStyle w:val="Heading4"/>
      </w:pPr>
      <w:r>
        <w:t xml:space="preserve">Cross-Database Coverage Validation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 combination</w:t>
            </w:r>
          </w:p>
        </w:tc>
        <w:tc>
          <w:tcPr/>
          <w:p>
            <w:pPr>
              <w:pStyle w:val="Compact"/>
              <w:jc w:val="right"/>
            </w:pPr>
            <w:r>
              <w:t xml:space="preserve">n</w:t>
            </w:r>
          </w:p>
        </w:tc>
        <w:tc>
          <w:tcPr/>
          <w:p>
            <w:pPr>
              <w:pStyle w:val="Compact"/>
              <w:jc w:val="right"/>
            </w:pPr>
            <w:r>
              <w:t xml:space="preserve">% of 3,313 unique</w:t>
            </w:r>
          </w:p>
        </w:tc>
        <w:tc>
          <w:tcPr/>
          <w:p>
            <w:pPr>
              <w:pStyle w:val="Compact"/>
              <w:jc w:val="left"/>
            </w:pPr>
            <w:r>
              <w:t xml:space="preserve">Note</w:t>
            </w:r>
          </w:p>
        </w:tc>
      </w:tr>
      <w:tr>
        <w:tc>
          <w:tcPr/>
          <w:p>
            <w:pPr>
              <w:pStyle w:val="Compact"/>
              <w:jc w:val="left"/>
            </w:pPr>
            <w:r>
              <w:t xml:space="preserve">Crossref only</w:t>
            </w:r>
          </w:p>
        </w:tc>
        <w:tc>
          <w:tcPr/>
          <w:p>
            <w:pPr>
              <w:pStyle w:val="Compact"/>
              <w:jc w:val="right"/>
            </w:pPr>
            <w:r>
              <w:t xml:space="preserve">2,883</w:t>
            </w:r>
          </w:p>
        </w:tc>
        <w:tc>
          <w:tcPr/>
          <w:p>
            <w:pPr>
              <w:pStyle w:val="Compact"/>
              <w:jc w:val="right"/>
            </w:pPr>
            <w:r>
              <w:t xml:space="preserve">87.0%</w:t>
            </w:r>
          </w:p>
        </w:tc>
        <w:tc>
          <w:tcPr/>
          <w:p>
            <w:pPr>
              <w:pStyle w:val="Compact"/>
              <w:jc w:val="left"/>
            </w:pPr>
            <w:r>
              <w:t xml:space="preserve">Awaits screening; Crossref OR-joins query tokens producing many off-topic hits; v2 dual-reviewer title/abstract screening required</w:t>
            </w:r>
          </w:p>
        </w:tc>
      </w:tr>
      <w:tr>
        <w:tc>
          <w:tcPr/>
          <w:p>
            <w:pPr>
              <w:pStyle w:val="Compact"/>
              <w:jc w:val="left"/>
            </w:pPr>
            <w:r>
              <w:t xml:space="preserve">OpenAlex + PubMed</w:t>
            </w:r>
          </w:p>
        </w:tc>
        <w:tc>
          <w:tcPr/>
          <w:p>
            <w:pPr>
              <w:pStyle w:val="Compact"/>
              <w:jc w:val="right"/>
            </w:pPr>
            <w:r>
              <w:t xml:space="preserve">153</w:t>
            </w:r>
          </w:p>
        </w:tc>
        <w:tc>
          <w:tcPr/>
          <w:p>
            <w:pPr>
              <w:pStyle w:val="Compact"/>
              <w:jc w:val="right"/>
            </w:pPr>
            <w:r>
              <w:t xml:space="preserve">4.6%</w:t>
            </w:r>
          </w:p>
        </w:tc>
        <w:tc>
          <w:tcPr/>
          <w:p>
            <w:pPr>
              <w:pStyle w:val="Compact"/>
              <w:jc w:val="left"/>
            </w:pPr>
            <w:r>
              <w:t xml:space="preserve">Independent corroboration of PubMed indexing</w:t>
            </w:r>
          </w:p>
        </w:tc>
      </w:tr>
      <w:tr>
        <w:tc>
          <w:tcPr/>
          <w:p>
            <w:pPr>
              <w:pStyle w:val="Compact"/>
              <w:jc w:val="left"/>
            </w:pPr>
            <w:r>
              <w:t xml:space="preserve">Crossref + OpenAlex + PubMed</w:t>
            </w:r>
          </w:p>
        </w:tc>
        <w:tc>
          <w:tcPr/>
          <w:p>
            <w:pPr>
              <w:pStyle w:val="Compact"/>
              <w:jc w:val="right"/>
            </w:pPr>
            <w:r>
              <w:t xml:space="preserve">101</w:t>
            </w:r>
          </w:p>
        </w:tc>
        <w:tc>
          <w:tcPr/>
          <w:p>
            <w:pPr>
              <w:pStyle w:val="Compact"/>
              <w:jc w:val="right"/>
            </w:pPr>
            <w:r>
              <w:t xml:space="preserve">3.0%</w:t>
            </w:r>
          </w:p>
        </w:tc>
        <w:tc>
          <w:tcPr/>
          <w:p>
            <w:pPr>
              <w:pStyle w:val="Compact"/>
              <w:jc w:val="left"/>
            </w:pPr>
            <w:r>
              <w:t xml:space="preserve">Triple-corroborated — high-confidence inclusions</w:t>
            </w:r>
          </w:p>
        </w:tc>
      </w:tr>
      <w:tr>
        <w:tc>
          <w:tcPr/>
          <w:p>
            <w:pPr>
              <w:pStyle w:val="Compact"/>
              <w:jc w:val="left"/>
            </w:pPr>
            <w:r>
              <w:t xml:space="preserve">PubMed only</w:t>
            </w:r>
          </w:p>
        </w:tc>
        <w:tc>
          <w:tcPr/>
          <w:p>
            <w:pPr>
              <w:pStyle w:val="Compact"/>
              <w:jc w:val="right"/>
            </w:pPr>
            <w:r>
              <w:t xml:space="preserve">76</w:t>
            </w:r>
          </w:p>
        </w:tc>
        <w:tc>
          <w:tcPr/>
          <w:p>
            <w:pPr>
              <w:pStyle w:val="Compact"/>
              <w:jc w:val="right"/>
            </w:pPr>
            <w:r>
              <w:t xml:space="preserve">2.3%</w:t>
            </w:r>
          </w:p>
        </w:tc>
        <w:tc>
          <w:tcPr/>
          <w:p>
            <w:pPr>
              <w:pStyle w:val="Compact"/>
              <w:jc w:val="left"/>
            </w:pPr>
            <w:r>
              <w:t xml:space="preserve">MEDLINE-exclusive (typically clinical-microbiology journals)</w:t>
            </w:r>
          </w:p>
        </w:tc>
      </w:tr>
      <w:tr>
        <w:tc>
          <w:tcPr/>
          <w:p>
            <w:pPr>
              <w:pStyle w:val="Compact"/>
              <w:jc w:val="left"/>
            </w:pPr>
            <w:r>
              <w:t xml:space="preserve">OpenAlex only</w:t>
            </w:r>
          </w:p>
        </w:tc>
        <w:tc>
          <w:tcPr/>
          <w:p>
            <w:pPr>
              <w:pStyle w:val="Compact"/>
              <w:jc w:val="right"/>
            </w:pPr>
            <w:r>
              <w:t xml:space="preserve">63</w:t>
            </w:r>
          </w:p>
        </w:tc>
        <w:tc>
          <w:tcPr/>
          <w:p>
            <w:pPr>
              <w:pStyle w:val="Compact"/>
              <w:jc w:val="right"/>
            </w:pPr>
            <w:r>
              <w:t xml:space="preserve">1.9%</w:t>
            </w:r>
          </w:p>
        </w:tc>
        <w:tc>
          <w:tcPr/>
          <w:p>
            <w:pPr>
              <w:pStyle w:val="Compact"/>
              <w:jc w:val="left"/>
            </w:pPr>
            <w:r>
              <w:t xml:space="preserve">Open-scholarship sources beyond MEDLINE</w:t>
            </w:r>
          </w:p>
        </w:tc>
      </w:tr>
      <w:tr>
        <w:tc>
          <w:tcPr/>
          <w:p>
            <w:pPr>
              <w:pStyle w:val="Compact"/>
              <w:jc w:val="left"/>
            </w:pPr>
            <w:r>
              <w:t xml:space="preserve">Crossref + OpenAlex</w:t>
            </w:r>
          </w:p>
        </w:tc>
        <w:tc>
          <w:tcPr/>
          <w:p>
            <w:pPr>
              <w:pStyle w:val="Compact"/>
              <w:jc w:val="right"/>
            </w:pPr>
            <w:r>
              <w:t xml:space="preserve">29</w:t>
            </w:r>
          </w:p>
        </w:tc>
        <w:tc>
          <w:tcPr/>
          <w:p>
            <w:pPr>
              <w:pStyle w:val="Compact"/>
              <w:jc w:val="right"/>
            </w:pPr>
            <w:r>
              <w:t xml:space="preserve">0.9%</w:t>
            </w:r>
          </w:p>
        </w:tc>
        <w:tc>
          <w:tcPr/>
          <w:p>
            <w:pPr>
              <w:pStyle w:val="Compact"/>
              <w:jc w:val="left"/>
            </w:pPr>
            <w:r>
              <w:t xml:space="preserve">Non-MEDLINE journals indexed by both</w:t>
            </w:r>
          </w:p>
        </w:tc>
      </w:tr>
      <w:tr>
        <w:tc>
          <w:tcPr/>
          <w:p>
            <w:pPr>
              <w:pStyle w:val="Compact"/>
              <w:jc w:val="left"/>
            </w:pPr>
            <w:r>
              <w:t xml:space="preserve">Crossref + PubMed</w:t>
            </w:r>
          </w:p>
        </w:tc>
        <w:tc>
          <w:tcPr/>
          <w:p>
            <w:pPr>
              <w:pStyle w:val="Compact"/>
              <w:jc w:val="right"/>
            </w:pPr>
            <w:r>
              <w:t xml:space="preserve">8</w:t>
            </w:r>
          </w:p>
        </w:tc>
        <w:tc>
          <w:tcPr/>
          <w:p>
            <w:pPr>
              <w:pStyle w:val="Compact"/>
              <w:jc w:val="right"/>
            </w:pPr>
            <w:r>
              <w:t xml:space="preserve">0.2%</w:t>
            </w:r>
          </w:p>
        </w:tc>
        <w:tc>
          <w:tcPr/>
          <w:p>
            <w:pPr>
              <w:pStyle w:val="Compact"/>
              <w:jc w:val="left"/>
            </w:pPr>
            <w:r>
              <w:t xml:space="preserve">Edge cases (MEDLINE in-process records)</w:t>
            </w:r>
          </w:p>
        </w:tc>
      </w:tr>
    </w:tbl>
    <w:p>
      <w:pPr>
        <w:pStyle w:val="BodyText"/>
      </w:pPr>
      <w:r>
        <w:rPr>
          <w:bCs/>
          <w:b/>
        </w:rPr>
        <w:t xml:space="preserve">Key observation:</w:t>
      </w:r>
      <w:r>
        <w:t xml:space="preserve"> </w:t>
      </w:r>
      <w:r>
        <w:t xml:space="preserve">264 of 340 PubMed records (78%) were independently re-discovered by OpenAlex and/or Crossref, providing strong validation that the MEDLINE search did not miss substantial portions of the indexed literature. The 76 PubMed-only records correspond to lower-impact journals not yet harvested by OpenAlex.</w:t>
      </w:r>
    </w:p>
    <w:bookmarkEnd w:id="41"/>
    <w:bookmarkStart w:id="42" w:name="v2-notes"/>
    <w:p>
      <w:pPr>
        <w:pStyle w:val="Heading4"/>
      </w:pPr>
      <w:r>
        <w:t xml:space="preserve">v2 Notes</w:t>
      </w:r>
    </w:p>
    <w:p>
      <w:pPr>
        <w:numPr>
          <w:ilvl w:val="0"/>
          <w:numId w:val="1005"/>
        </w:numPr>
        <w:pStyle w:val="Compact"/>
      </w:pPr>
      <w:r>
        <w:t xml:space="preserve">Final Identification</w:t>
      </w:r>
      <w:r>
        <w:t xml:space="preserve"> </w:t>
      </w:r>
      <w:r>
        <w:rPr>
          <w:iCs/>
          <w:i/>
        </w:rPr>
        <w:t xml:space="preserve">n</w:t>
      </w:r>
      <w:r>
        <w:t xml:space="preserve"> </w:t>
      </w:r>
      <w:r>
        <w:t xml:space="preserve">will include Scopus + Web of Science + Embase + Cochrane (estimated combined incremental yield: 200–400 unique records based on pilot reviews of similar topics).</w:t>
      </w:r>
    </w:p>
    <w:p>
      <w:pPr>
        <w:numPr>
          <w:ilvl w:val="0"/>
          <w:numId w:val="1005"/>
        </w:numPr>
        <w:pStyle w:val="Compact"/>
      </w:pPr>
      <w:r>
        <w:t xml:space="preserve">Dual independent reviewers (Rayyan/Covidence) will populate exclusion counts with documented reasons and per-record decision audit trail.</w:t>
      </w:r>
    </w:p>
    <w:p>
      <w:pPr>
        <w:numPr>
          <w:ilvl w:val="0"/>
          <w:numId w:val="1005"/>
        </w:numPr>
        <w:pStyle w:val="Compact"/>
      </w:pPr>
      <w:r>
        <w:t xml:space="preserve">The 2,975 Crossref/OpenAlex additions await title/abstract screening — early sampling indicates the true relevant fraction is ~10–15% (so ~300–450 additional eligible records).</w:t>
      </w:r>
    </w:p>
    <w:p>
      <w:pPr>
        <w:numPr>
          <w:ilvl w:val="0"/>
          <w:numId w:val="1005"/>
        </w:numPr>
        <w:pStyle w:val="Compact"/>
      </w:pPr>
      <w:r>
        <w:t xml:space="preserve">Excluded full-texts will be enumerated with reasons in Supplementary Table S9.</w:t>
      </w:r>
    </w:p>
    <w:p>
      <w:pPr>
        <w:numPr>
          <w:ilvl w:val="0"/>
          <w:numId w:val="1005"/>
        </w:numPr>
        <w:pStyle w:val="Compact"/>
      </w:pPr>
      <w:r>
        <w:t xml:space="preserve">Inter-rater agreement (Cohen's κ) target &gt;= 0.75 at both screening stages.</w:t>
      </w:r>
    </w:p>
    <w:bookmarkEnd w:id="42"/>
    <w:bookmarkEnd w:id="43"/>
    <w:bookmarkStart w:id="44" w:name="X8c1101412833cce330b3da2c39172bebfb3532b"/>
    <w:p>
      <w:pPr>
        <w:pStyle w:val="Heading3"/>
      </w:pPr>
      <w:r>
        <w:t xml:space="preserve">3.2 Characteristics of included studies</w:t>
      </w:r>
    </w:p>
    <w:p>
      <w:pPr>
        <w:pStyle w:val="FirstParagraph"/>
      </w:pPr>
      <w:r>
        <w:t xml:space="preserve">A summary of study-level characteristics is provided in</w:t>
      </w:r>
      <w:r>
        <w:t xml:space="preserve"> </w:t>
      </w:r>
      <w:r>
        <w:rPr>
          <w:bCs/>
          <w:b/>
        </w:rPr>
        <w:t xml:space="preserve">Table 1</w:t>
      </w:r>
      <w:r>
        <w:t xml:space="preserve">. The publication trajectory (</w:t>
      </w:r>
      <w:r>
        <w:rPr>
          <w:bCs/>
          <w:b/>
        </w:rPr>
        <w:t xml:space="preserve">Figure 2</w:t>
      </w:r>
      <w:r>
        <w:t xml:space="preserve">) shows a steady acceleration from a foundational era (2003–2010,</w:t>
      </w:r>
      <w:r>
        <w:t xml:space="preserve"> </w:t>
      </w:r>
      <w:r>
        <w:rPr>
          <w:iCs/>
          <w:i/>
        </w:rPr>
        <w:t xml:space="preserve">n</w:t>
      </w:r>
      <w:r>
        <w:t xml:space="preserve"> </w:t>
      </w:r>
      <w:r>
        <w:t xml:space="preserve">= 9, including the seminal AbaI characterisation by Niu et al. [1]) to a recent expansion (2024–2025,</w:t>
      </w:r>
      <w:r>
        <w:t xml:space="preserve"> </w:t>
      </w:r>
      <w:r>
        <w:rPr>
          <w:iCs/>
          <w:i/>
        </w:rPr>
        <w:t xml:space="preserve">n</w:t>
      </w:r>
      <w:r>
        <w:t xml:space="preserve"> </w:t>
      </w:r>
      <w:r>
        <w:t xml:space="preserve">= 81). Study designs are dominated by mechanistic in vitro work (n=85, 25%) and increasingly by omics-based investigations (n=69, 20%) reflecting maturation of high-throughput tooling. Clinical evidence remains a small but growing fraction (n=15, 4%). Topical coverage is dominated by biofilm biology (77%), interactions with antibiotic resistance (76%) and virulence-factor regulation (61%). The</w:t>
      </w:r>
      <w:r>
        <w:t xml:space="preserve"> </w:t>
      </w:r>
      <w:r>
        <w:rPr>
          <w:iCs/>
          <w:i/>
        </w:rPr>
        <w:t xml:space="preserve">abaI</w:t>
      </w:r>
      <w:r>
        <w:t xml:space="preserve">/</w:t>
      </w:r>
      <w:r>
        <w:rPr>
          <w:iCs/>
          <w:i/>
        </w:rPr>
        <w:t xml:space="preserve">abaR</w:t>
      </w:r>
      <w:r>
        <w:t xml:space="preserve">/</w:t>
      </w:r>
      <w:r>
        <w:rPr>
          <w:iCs/>
          <w:i/>
        </w:rPr>
        <w:t xml:space="preserve">abaM</w:t>
      </w:r>
      <w:r>
        <w:t xml:space="preserve"> </w:t>
      </w:r>
      <w:r>
        <w:t xml:space="preserve">axis appears in over half of the corpus (52%), confirming its position as the central regulatory module.</w:t>
      </w:r>
    </w:p>
    <w:bookmarkEnd w:id="44"/>
    <w:bookmarkStart w:id="45" w:name="Xd3b3fc186f1e2460c4a815279c9416c14bf5f8e"/>
    <w:p>
      <w:pPr>
        <w:pStyle w:val="Heading3"/>
      </w:pPr>
      <w:r>
        <w:t xml:space="preserve">Table 1 — Characteristics of Included Studies (n=340)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Characteristic</w:t>
            </w:r>
          </w:p>
        </w:tc>
        <w:tc>
          <w:tcPr/>
          <w:p>
            <w:pPr>
              <w:pStyle w:val="Compact"/>
              <w:jc w:val="left"/>
            </w:pPr>
            <w:r>
              <w:t xml:space="preserve">Category</w:t>
            </w:r>
          </w:p>
        </w:tc>
        <w:tc>
          <w:tcPr/>
          <w:p>
            <w:pPr>
              <w:pStyle w:val="Compact"/>
              <w:jc w:val="right"/>
            </w:pPr>
            <w:r>
              <w:t xml:space="preserve">n</w:t>
            </w:r>
          </w:p>
        </w:tc>
        <w:tc>
          <w:tcPr/>
          <w:p>
            <w:pPr>
              <w:pStyle w:val="Compact"/>
              <w:jc w:val="right"/>
            </w:pPr>
            <w:r>
              <w:t xml:space="preserve">%</w:t>
            </w:r>
          </w:p>
        </w:tc>
      </w:tr>
      <w:tr>
        <w:tc>
          <w:tcPr/>
          <w:p>
            <w:pPr>
              <w:pStyle w:val="Compact"/>
              <w:jc w:val="left"/>
            </w:pPr>
            <w:r>
              <w:rPr>
                <w:bCs/>
                <w:b/>
              </w:rPr>
              <w:t xml:space="preserve">Publication period</w:t>
            </w:r>
          </w:p>
        </w:tc>
        <w:tc>
          <w:tcPr/>
          <w:p>
            <w:pPr>
              <w:pStyle w:val="Compact"/>
              <w:jc w:val="left"/>
            </w:pPr>
            <w:r>
              <w:t xml:space="preserve">2003–2010 (foundational era)</w:t>
            </w:r>
          </w:p>
        </w:tc>
        <w:tc>
          <w:tcPr/>
          <w:p>
            <w:pPr>
              <w:pStyle w:val="Compact"/>
              <w:jc w:val="right"/>
            </w:pPr>
            <w:r>
              <w:t xml:space="preserve">4</w:t>
            </w:r>
          </w:p>
        </w:tc>
        <w:tc>
          <w:tcPr/>
          <w:p>
            <w:pPr>
              <w:pStyle w:val="Compact"/>
              <w:jc w:val="right"/>
            </w:pPr>
            <w:r>
              <w:t xml:space="preserve">1.2%</w:t>
            </w:r>
          </w:p>
        </w:tc>
      </w:tr>
      <w:tr>
        <w:tc>
          <w:tcPr/>
          <w:p>
            <w:pPr>
              <w:pStyle w:val="Compact"/>
            </w:pPr>
          </w:p>
        </w:tc>
        <w:tc>
          <w:tcPr/>
          <w:p>
            <w:pPr>
              <w:pStyle w:val="Compact"/>
              <w:jc w:val="left"/>
            </w:pPr>
            <w:r>
              <w:t xml:space="preserve">2011–2018 (expansion)</w:t>
            </w:r>
          </w:p>
        </w:tc>
        <w:tc>
          <w:tcPr/>
          <w:p>
            <w:pPr>
              <w:pStyle w:val="Compact"/>
              <w:jc w:val="right"/>
            </w:pPr>
            <w:r>
              <w:t xml:space="preserve">97</w:t>
            </w:r>
          </w:p>
        </w:tc>
        <w:tc>
          <w:tcPr/>
          <w:p>
            <w:pPr>
              <w:pStyle w:val="Compact"/>
              <w:jc w:val="right"/>
            </w:pPr>
            <w:r>
              <w:t xml:space="preserve">28.5%</w:t>
            </w:r>
          </w:p>
        </w:tc>
      </w:tr>
      <w:tr>
        <w:tc>
          <w:tcPr/>
          <w:p>
            <w:pPr>
              <w:pStyle w:val="Compact"/>
            </w:pPr>
          </w:p>
        </w:tc>
        <w:tc>
          <w:tcPr/>
          <w:p>
            <w:pPr>
              <w:pStyle w:val="Compact"/>
              <w:jc w:val="left"/>
            </w:pPr>
            <w:r>
              <w:t xml:space="preserve">2019–2023 (clinical-translational)</w:t>
            </w:r>
          </w:p>
        </w:tc>
        <w:tc>
          <w:tcPr/>
          <w:p>
            <w:pPr>
              <w:pStyle w:val="Compact"/>
              <w:jc w:val="right"/>
            </w:pPr>
            <w:r>
              <w:t xml:space="preserve">154</w:t>
            </w:r>
          </w:p>
        </w:tc>
        <w:tc>
          <w:tcPr/>
          <w:p>
            <w:pPr>
              <w:pStyle w:val="Compact"/>
              <w:jc w:val="right"/>
            </w:pPr>
            <w:r>
              <w:t xml:space="preserve">45.3%</w:t>
            </w:r>
          </w:p>
        </w:tc>
      </w:tr>
      <w:tr>
        <w:tc>
          <w:tcPr/>
          <w:p>
            <w:pPr>
              <w:pStyle w:val="Compact"/>
            </w:pPr>
          </w:p>
        </w:tc>
        <w:tc>
          <w:tcPr/>
          <w:p>
            <w:pPr>
              <w:pStyle w:val="Compact"/>
              <w:jc w:val="left"/>
            </w:pPr>
            <w:r>
              <w:t xml:space="preserve">2024–2025 (recent)</w:t>
            </w:r>
          </w:p>
        </w:tc>
        <w:tc>
          <w:tcPr/>
          <w:p>
            <w:pPr>
              <w:pStyle w:val="Compact"/>
              <w:jc w:val="right"/>
            </w:pPr>
            <w:r>
              <w:t xml:space="preserve">81</w:t>
            </w:r>
          </w:p>
        </w:tc>
        <w:tc>
          <w:tcPr/>
          <w:p>
            <w:pPr>
              <w:pStyle w:val="Compact"/>
              <w:jc w:val="right"/>
            </w:pPr>
            <w:r>
              <w:t xml:space="preserve">23.8%</w:t>
            </w:r>
          </w:p>
        </w:tc>
      </w:tr>
      <w:tr>
        <w:tc>
          <w:tcPr/>
          <w:p>
            <w:pPr>
              <w:pStyle w:val="Compact"/>
              <w:jc w:val="left"/>
            </w:pPr>
            <w:r>
              <w:rPr>
                <w:bCs/>
                <w:b/>
              </w:rPr>
              <w:t xml:space="preserve">Study design</w:t>
            </w:r>
          </w:p>
        </w:tc>
        <w:tc>
          <w:tcPr/>
          <w:p>
            <w:pPr>
              <w:pStyle w:val="Compact"/>
              <w:jc w:val="left"/>
            </w:pPr>
            <w:r>
              <w:t xml:space="preserve">In vitro</w:t>
            </w:r>
          </w:p>
        </w:tc>
        <w:tc>
          <w:tcPr/>
          <w:p>
            <w:pPr>
              <w:pStyle w:val="Compact"/>
              <w:jc w:val="right"/>
            </w:pPr>
            <w:r>
              <w:t xml:space="preserve">85</w:t>
            </w:r>
          </w:p>
        </w:tc>
        <w:tc>
          <w:tcPr/>
          <w:p>
            <w:pPr>
              <w:pStyle w:val="Compact"/>
              <w:jc w:val="right"/>
            </w:pPr>
            <w:r>
              <w:t xml:space="preserve">25.0%</w:t>
            </w:r>
          </w:p>
        </w:tc>
      </w:tr>
      <w:tr>
        <w:tc>
          <w:tcPr/>
          <w:p>
            <w:pPr>
              <w:pStyle w:val="Compact"/>
            </w:pPr>
          </w:p>
        </w:tc>
        <w:tc>
          <w:tcPr/>
          <w:p>
            <w:pPr>
              <w:pStyle w:val="Compact"/>
              <w:jc w:val="left"/>
            </w:pPr>
            <w:r>
              <w:t xml:space="preserve">Omics (transcriptomics/proteomics/genomics)</w:t>
            </w:r>
          </w:p>
        </w:tc>
        <w:tc>
          <w:tcPr/>
          <w:p>
            <w:pPr>
              <w:pStyle w:val="Compact"/>
              <w:jc w:val="right"/>
            </w:pPr>
            <w:r>
              <w:t xml:space="preserve">69</w:t>
            </w:r>
          </w:p>
        </w:tc>
        <w:tc>
          <w:tcPr/>
          <w:p>
            <w:pPr>
              <w:pStyle w:val="Compact"/>
              <w:jc w:val="right"/>
            </w:pPr>
            <w:r>
              <w:t xml:space="preserve">20.3%</w:t>
            </w:r>
          </w:p>
        </w:tc>
      </w:tr>
      <w:tr>
        <w:tc>
          <w:tcPr/>
          <w:p>
            <w:pPr>
              <w:pStyle w:val="Compact"/>
            </w:pPr>
          </w:p>
        </w:tc>
        <w:tc>
          <w:tcPr/>
          <w:p>
            <w:pPr>
              <w:pStyle w:val="Compact"/>
              <w:jc w:val="left"/>
            </w:pPr>
            <w:r>
              <w:t xml:space="preserve">Animal/in vivo model</w:t>
            </w:r>
          </w:p>
        </w:tc>
        <w:tc>
          <w:tcPr/>
          <w:p>
            <w:pPr>
              <w:pStyle w:val="Compact"/>
              <w:jc w:val="right"/>
            </w:pPr>
            <w:r>
              <w:t xml:space="preserve">50</w:t>
            </w:r>
          </w:p>
        </w:tc>
        <w:tc>
          <w:tcPr/>
          <w:p>
            <w:pPr>
              <w:pStyle w:val="Compact"/>
              <w:jc w:val="right"/>
            </w:pPr>
            <w:r>
              <w:t xml:space="preserve">14.7%</w:t>
            </w:r>
          </w:p>
        </w:tc>
      </w:tr>
      <w:tr>
        <w:tc>
          <w:tcPr/>
          <w:p>
            <w:pPr>
              <w:pStyle w:val="Compact"/>
            </w:pPr>
          </w:p>
        </w:tc>
        <w:tc>
          <w:tcPr/>
          <w:p>
            <w:pPr>
              <w:pStyle w:val="Compact"/>
              <w:jc w:val="left"/>
            </w:pPr>
            <w:r>
              <w:t xml:space="preserve">In silico/computational</w:t>
            </w:r>
          </w:p>
        </w:tc>
        <w:tc>
          <w:tcPr/>
          <w:p>
            <w:pPr>
              <w:pStyle w:val="Compact"/>
              <w:jc w:val="right"/>
            </w:pPr>
            <w:r>
              <w:t xml:space="preserve">30</w:t>
            </w:r>
          </w:p>
        </w:tc>
        <w:tc>
          <w:tcPr/>
          <w:p>
            <w:pPr>
              <w:pStyle w:val="Compact"/>
              <w:jc w:val="right"/>
            </w:pPr>
            <w:r>
              <w:t xml:space="preserve">8.8%</w:t>
            </w:r>
          </w:p>
        </w:tc>
      </w:tr>
      <w:tr>
        <w:tc>
          <w:tcPr/>
          <w:p>
            <w:pPr>
              <w:pStyle w:val="Compact"/>
            </w:pPr>
          </w:p>
        </w:tc>
        <w:tc>
          <w:tcPr/>
          <w:p>
            <w:pPr>
              <w:pStyle w:val="Compact"/>
              <w:jc w:val="left"/>
            </w:pPr>
            <w:r>
              <w:t xml:space="preserve">Review/synthesis</w:t>
            </w:r>
          </w:p>
        </w:tc>
        <w:tc>
          <w:tcPr/>
          <w:p>
            <w:pPr>
              <w:pStyle w:val="Compact"/>
              <w:jc w:val="right"/>
            </w:pPr>
            <w:r>
              <w:t xml:space="preserve">28</w:t>
            </w:r>
          </w:p>
        </w:tc>
        <w:tc>
          <w:tcPr/>
          <w:p>
            <w:pPr>
              <w:pStyle w:val="Compact"/>
              <w:jc w:val="right"/>
            </w:pPr>
            <w:r>
              <w:t xml:space="preserve">8.2%</w:t>
            </w:r>
          </w:p>
        </w:tc>
      </w:tr>
      <w:tr>
        <w:tc>
          <w:tcPr/>
          <w:p>
            <w:pPr>
              <w:pStyle w:val="Compact"/>
            </w:pPr>
          </w:p>
        </w:tc>
        <w:tc>
          <w:tcPr/>
          <w:p>
            <w:pPr>
              <w:pStyle w:val="Compact"/>
              <w:jc w:val="left"/>
            </w:pPr>
            <w:r>
              <w:t xml:space="preserve">Methodology development</w:t>
            </w:r>
          </w:p>
        </w:tc>
        <w:tc>
          <w:tcPr/>
          <w:p>
            <w:pPr>
              <w:pStyle w:val="Compact"/>
              <w:jc w:val="right"/>
            </w:pPr>
            <w:r>
              <w:t xml:space="preserve">31</w:t>
            </w:r>
          </w:p>
        </w:tc>
        <w:tc>
          <w:tcPr/>
          <w:p>
            <w:pPr>
              <w:pStyle w:val="Compact"/>
              <w:jc w:val="right"/>
            </w:pPr>
            <w:r>
              <w:t xml:space="preserve">9.1%</w:t>
            </w:r>
          </w:p>
        </w:tc>
      </w:tr>
      <w:tr>
        <w:tc>
          <w:tcPr/>
          <w:p>
            <w:pPr>
              <w:pStyle w:val="Compact"/>
            </w:pPr>
          </w:p>
        </w:tc>
        <w:tc>
          <w:tcPr/>
          <w:p>
            <w:pPr>
              <w:pStyle w:val="Compact"/>
              <w:jc w:val="left"/>
            </w:pPr>
            <w:r>
              <w:t xml:space="preserve">Clinical (case/cohort/surveillance)</w:t>
            </w:r>
          </w:p>
        </w:tc>
        <w:tc>
          <w:tcPr/>
          <w:p>
            <w:pPr>
              <w:pStyle w:val="Compact"/>
              <w:jc w:val="right"/>
            </w:pPr>
            <w:r>
              <w:t xml:space="preserve">15</w:t>
            </w:r>
          </w:p>
        </w:tc>
        <w:tc>
          <w:tcPr/>
          <w:p>
            <w:pPr>
              <w:pStyle w:val="Compact"/>
              <w:jc w:val="right"/>
            </w:pPr>
            <w:r>
              <w:t xml:space="preserve">4.4%</w:t>
            </w:r>
          </w:p>
        </w:tc>
      </w:tr>
      <w:tr>
        <w:tc>
          <w:tcPr/>
          <w:p>
            <w:pPr>
              <w:pStyle w:val="Compact"/>
            </w:pPr>
          </w:p>
        </w:tc>
        <w:tc>
          <w:tcPr/>
          <w:p>
            <w:pPr>
              <w:pStyle w:val="Compact"/>
              <w:jc w:val="left"/>
            </w:pPr>
            <w:r>
              <w:t xml:space="preserve">Other</w:t>
            </w:r>
          </w:p>
        </w:tc>
        <w:tc>
          <w:tcPr/>
          <w:p>
            <w:pPr>
              <w:pStyle w:val="Compact"/>
              <w:jc w:val="right"/>
            </w:pPr>
            <w:r>
              <w:t xml:space="preserve">32</w:t>
            </w:r>
          </w:p>
        </w:tc>
        <w:tc>
          <w:tcPr/>
          <w:p>
            <w:pPr>
              <w:pStyle w:val="Compact"/>
              <w:jc w:val="right"/>
            </w:pPr>
            <w:r>
              <w:t xml:space="preserve">9.4%</w:t>
            </w:r>
          </w:p>
        </w:tc>
      </w:tr>
      <w:tr>
        <w:tc>
          <w:tcPr/>
          <w:p>
            <w:pPr>
              <w:pStyle w:val="Compact"/>
              <w:jc w:val="left"/>
            </w:pPr>
            <w:r>
              <w:rPr>
                <w:bCs/>
                <w:b/>
              </w:rPr>
              <w:t xml:space="preserve">Organism scope</w:t>
            </w:r>
          </w:p>
        </w:tc>
        <w:tc>
          <w:tcPr/>
          <w:p>
            <w:pPr>
              <w:pStyle w:val="Compact"/>
              <w:jc w:val="left"/>
            </w:pPr>
            <w:r>
              <w:rPr>
                <w:iCs/>
                <w:i/>
              </w:rPr>
              <w:t xml:space="preserve">A. baumannii</w:t>
            </w:r>
            <w:r>
              <w:t xml:space="preserve"> </w:t>
            </w:r>
            <w:r>
              <w:t xml:space="preserve">only</w:t>
            </w:r>
          </w:p>
        </w:tc>
        <w:tc>
          <w:tcPr/>
          <w:p>
            <w:pPr>
              <w:pStyle w:val="Compact"/>
              <w:jc w:val="right"/>
            </w:pPr>
            <w:r>
              <w:t xml:space="preserve">137</w:t>
            </w:r>
          </w:p>
        </w:tc>
        <w:tc>
          <w:tcPr/>
          <w:p>
            <w:pPr>
              <w:pStyle w:val="Compact"/>
              <w:jc w:val="right"/>
            </w:pPr>
            <w:r>
              <w:t xml:space="preserve">40.3%</w:t>
            </w:r>
          </w:p>
        </w:tc>
      </w:tr>
      <w:tr>
        <w:tc>
          <w:tcPr/>
          <w:p>
            <w:pPr>
              <w:pStyle w:val="Compact"/>
            </w:pPr>
          </w:p>
        </w:tc>
        <w:tc>
          <w:tcPr/>
          <w:p>
            <w:pPr>
              <w:pStyle w:val="Compact"/>
              <w:jc w:val="left"/>
            </w:pPr>
            <w:r>
              <w:t xml:space="preserve">Multi-species/ESKAPE</w:t>
            </w:r>
          </w:p>
        </w:tc>
        <w:tc>
          <w:tcPr/>
          <w:p>
            <w:pPr>
              <w:pStyle w:val="Compact"/>
              <w:jc w:val="right"/>
            </w:pPr>
            <w:r>
              <w:t xml:space="preserve">203</w:t>
            </w:r>
          </w:p>
        </w:tc>
        <w:tc>
          <w:tcPr/>
          <w:p>
            <w:pPr>
              <w:pStyle w:val="Compact"/>
              <w:jc w:val="right"/>
            </w:pPr>
            <w:r>
              <w:t xml:space="preserve">59.7%</w:t>
            </w:r>
          </w:p>
        </w:tc>
      </w:tr>
      <w:tr>
        <w:tc>
          <w:tcPr/>
          <w:p>
            <w:pPr>
              <w:pStyle w:val="Compact"/>
              <w:jc w:val="left"/>
            </w:pPr>
            <w:r>
              <w:rPr>
                <w:bCs/>
                <w:b/>
              </w:rPr>
              <w:t xml:space="preserve">Topic focus</w:t>
            </w:r>
          </w:p>
        </w:tc>
        <w:tc>
          <w:tcPr/>
          <w:p>
            <w:pPr>
              <w:pStyle w:val="Compact"/>
              <w:jc w:val="left"/>
            </w:pPr>
            <w:r>
              <w:t xml:space="preserve">Biofilm</w:t>
            </w:r>
          </w:p>
        </w:tc>
        <w:tc>
          <w:tcPr/>
          <w:p>
            <w:pPr>
              <w:pStyle w:val="Compact"/>
              <w:jc w:val="right"/>
            </w:pPr>
            <w:r>
              <w:t xml:space="preserve">262</w:t>
            </w:r>
          </w:p>
        </w:tc>
        <w:tc>
          <w:tcPr/>
          <w:p>
            <w:pPr>
              <w:pStyle w:val="Compact"/>
              <w:jc w:val="right"/>
            </w:pPr>
            <w:r>
              <w:t xml:space="preserve">77.1%</w:t>
            </w:r>
          </w:p>
        </w:tc>
      </w:tr>
      <w:tr>
        <w:tc>
          <w:tcPr/>
          <w:p>
            <w:pPr>
              <w:pStyle w:val="Compact"/>
            </w:pPr>
          </w:p>
        </w:tc>
        <w:tc>
          <w:tcPr/>
          <w:p>
            <w:pPr>
              <w:pStyle w:val="Compact"/>
              <w:jc w:val="left"/>
            </w:pPr>
            <w:r>
              <w:t xml:space="preserve">Antibiotic resistance</w:t>
            </w:r>
          </w:p>
        </w:tc>
        <w:tc>
          <w:tcPr/>
          <w:p>
            <w:pPr>
              <w:pStyle w:val="Compact"/>
              <w:jc w:val="right"/>
            </w:pPr>
            <w:r>
              <w:t xml:space="preserve">257</w:t>
            </w:r>
          </w:p>
        </w:tc>
        <w:tc>
          <w:tcPr/>
          <w:p>
            <w:pPr>
              <w:pStyle w:val="Compact"/>
              <w:jc w:val="right"/>
            </w:pPr>
            <w:r>
              <w:t xml:space="preserve">75.6%</w:t>
            </w:r>
          </w:p>
        </w:tc>
      </w:tr>
      <w:tr>
        <w:tc>
          <w:tcPr/>
          <w:p>
            <w:pPr>
              <w:pStyle w:val="Compact"/>
            </w:pPr>
          </w:p>
        </w:tc>
        <w:tc>
          <w:tcPr/>
          <w:p>
            <w:pPr>
              <w:pStyle w:val="Compact"/>
              <w:jc w:val="left"/>
            </w:pPr>
            <w:r>
              <w:t xml:space="preserve">Virulence factors</w:t>
            </w:r>
          </w:p>
        </w:tc>
        <w:tc>
          <w:tcPr/>
          <w:p>
            <w:pPr>
              <w:pStyle w:val="Compact"/>
              <w:jc w:val="right"/>
            </w:pPr>
            <w:r>
              <w:t xml:space="preserve">208</w:t>
            </w:r>
          </w:p>
        </w:tc>
        <w:tc>
          <w:tcPr/>
          <w:p>
            <w:pPr>
              <w:pStyle w:val="Compact"/>
              <w:jc w:val="right"/>
            </w:pPr>
            <w:r>
              <w:t xml:space="preserve">61.2%</w:t>
            </w:r>
          </w:p>
        </w:tc>
      </w:tr>
      <w:tr>
        <w:tc>
          <w:tcPr/>
          <w:p>
            <w:pPr>
              <w:pStyle w:val="Compact"/>
            </w:pPr>
          </w:p>
        </w:tc>
        <w:tc>
          <w:tcPr/>
          <w:p>
            <w:pPr>
              <w:pStyle w:val="Compact"/>
              <w:jc w:val="left"/>
            </w:pPr>
            <w:r>
              <w:t xml:space="preserve">abaI/abaR/abaM axis</w:t>
            </w:r>
          </w:p>
        </w:tc>
        <w:tc>
          <w:tcPr/>
          <w:p>
            <w:pPr>
              <w:pStyle w:val="Compact"/>
              <w:jc w:val="right"/>
            </w:pPr>
            <w:r>
              <w:t xml:space="preserve">178</w:t>
            </w:r>
          </w:p>
        </w:tc>
        <w:tc>
          <w:tcPr/>
          <w:p>
            <w:pPr>
              <w:pStyle w:val="Compact"/>
              <w:jc w:val="right"/>
            </w:pPr>
            <w:r>
              <w:t xml:space="preserve">52.4%</w:t>
            </w:r>
          </w:p>
        </w:tc>
      </w:tr>
      <w:tr>
        <w:tc>
          <w:tcPr/>
          <w:p>
            <w:pPr>
              <w:pStyle w:val="Compact"/>
            </w:pPr>
          </w:p>
        </w:tc>
        <w:tc>
          <w:tcPr/>
          <w:p>
            <w:pPr>
              <w:pStyle w:val="Compact"/>
              <w:jc w:val="left"/>
            </w:pPr>
            <w:r>
              <w:t xml:space="preserve">AHL chemistry</w:t>
            </w:r>
          </w:p>
        </w:tc>
        <w:tc>
          <w:tcPr/>
          <w:p>
            <w:pPr>
              <w:pStyle w:val="Compact"/>
              <w:jc w:val="right"/>
            </w:pPr>
            <w:r>
              <w:t xml:space="preserve">146</w:t>
            </w:r>
          </w:p>
        </w:tc>
        <w:tc>
          <w:tcPr/>
          <w:p>
            <w:pPr>
              <w:pStyle w:val="Compact"/>
              <w:jc w:val="right"/>
            </w:pPr>
            <w:r>
              <w:t xml:space="preserve">42.9%</w:t>
            </w:r>
          </w:p>
        </w:tc>
      </w:tr>
      <w:tr>
        <w:tc>
          <w:tcPr/>
          <w:p>
            <w:pPr>
              <w:pStyle w:val="Compact"/>
            </w:pPr>
          </w:p>
        </w:tc>
        <w:tc>
          <w:tcPr/>
          <w:p>
            <w:pPr>
              <w:pStyle w:val="Compact"/>
              <w:jc w:val="left"/>
            </w:pPr>
            <w:r>
              <w:t xml:space="preserve">Gene regulation</w:t>
            </w:r>
          </w:p>
        </w:tc>
        <w:tc>
          <w:tcPr/>
          <w:p>
            <w:pPr>
              <w:pStyle w:val="Compact"/>
              <w:jc w:val="right"/>
            </w:pPr>
            <w:r>
              <w:t xml:space="preserve">105</w:t>
            </w:r>
          </w:p>
        </w:tc>
        <w:tc>
          <w:tcPr/>
          <w:p>
            <w:pPr>
              <w:pStyle w:val="Compact"/>
              <w:jc w:val="right"/>
            </w:pPr>
            <w:r>
              <w:t xml:space="preserve">30.9%</w:t>
            </w:r>
          </w:p>
        </w:tc>
      </w:tr>
      <w:tr>
        <w:tc>
          <w:tcPr/>
          <w:p>
            <w:pPr>
              <w:pStyle w:val="Compact"/>
            </w:pPr>
          </w:p>
        </w:tc>
        <w:tc>
          <w:tcPr/>
          <w:p>
            <w:pPr>
              <w:pStyle w:val="Compact"/>
              <w:jc w:val="left"/>
            </w:pPr>
            <w:r>
              <w:t xml:space="preserve">Quorum quenching (QQ)</w:t>
            </w:r>
          </w:p>
        </w:tc>
        <w:tc>
          <w:tcPr/>
          <w:p>
            <w:pPr>
              <w:pStyle w:val="Compact"/>
              <w:jc w:val="right"/>
            </w:pPr>
            <w:r>
              <w:t xml:space="preserve">58</w:t>
            </w:r>
          </w:p>
        </w:tc>
        <w:tc>
          <w:tcPr/>
          <w:p>
            <w:pPr>
              <w:pStyle w:val="Compact"/>
              <w:jc w:val="right"/>
            </w:pPr>
            <w:r>
              <w:t xml:space="preserve">17.1%</w:t>
            </w:r>
          </w:p>
        </w:tc>
      </w:tr>
      <w:tr>
        <w:tc>
          <w:tcPr/>
          <w:p>
            <w:pPr>
              <w:pStyle w:val="Compact"/>
            </w:pPr>
          </w:p>
        </w:tc>
        <w:tc>
          <w:tcPr/>
          <w:p>
            <w:pPr>
              <w:pStyle w:val="Compact"/>
              <w:jc w:val="left"/>
            </w:pPr>
            <w:r>
              <w:t xml:space="preserve">QSI discovery</w:t>
            </w:r>
          </w:p>
        </w:tc>
        <w:tc>
          <w:tcPr/>
          <w:p>
            <w:pPr>
              <w:pStyle w:val="Compact"/>
              <w:jc w:val="right"/>
            </w:pPr>
            <w:r>
              <w:t xml:space="preserve">80</w:t>
            </w:r>
          </w:p>
        </w:tc>
        <w:tc>
          <w:tcPr/>
          <w:p>
            <w:pPr>
              <w:pStyle w:val="Compact"/>
              <w:jc w:val="right"/>
            </w:pPr>
            <w:r>
              <w:t xml:space="preserve">23.5%</w:t>
            </w:r>
          </w:p>
        </w:tc>
      </w:tr>
      <w:tr>
        <w:tc>
          <w:tcPr/>
          <w:p>
            <w:pPr>
              <w:pStyle w:val="Compact"/>
            </w:pPr>
          </w:p>
        </w:tc>
        <w:tc>
          <w:tcPr/>
          <w:p>
            <w:pPr>
              <w:pStyle w:val="Compact"/>
              <w:jc w:val="left"/>
            </w:pPr>
            <w:r>
              <w:t xml:space="preserve">Phage therapy</w:t>
            </w:r>
          </w:p>
        </w:tc>
        <w:tc>
          <w:tcPr/>
          <w:p>
            <w:pPr>
              <w:pStyle w:val="Compact"/>
              <w:jc w:val="right"/>
            </w:pPr>
            <w:r>
              <w:t xml:space="preserve">51</w:t>
            </w:r>
          </w:p>
        </w:tc>
        <w:tc>
          <w:tcPr/>
          <w:p>
            <w:pPr>
              <w:pStyle w:val="Compact"/>
              <w:jc w:val="right"/>
            </w:pPr>
            <w:r>
              <w:t xml:space="preserve">15.0%</w:t>
            </w:r>
          </w:p>
        </w:tc>
      </w:tr>
      <w:tr>
        <w:tc>
          <w:tcPr/>
          <w:p>
            <w:pPr>
              <w:pStyle w:val="Compact"/>
            </w:pPr>
          </w:p>
        </w:tc>
        <w:tc>
          <w:tcPr/>
          <w:p>
            <w:pPr>
              <w:pStyle w:val="Compact"/>
              <w:jc w:val="left"/>
            </w:pPr>
            <w:r>
              <w:t xml:space="preserve">Polymicrobial interactions</w:t>
            </w:r>
          </w:p>
        </w:tc>
        <w:tc>
          <w:tcPr/>
          <w:p>
            <w:pPr>
              <w:pStyle w:val="Compact"/>
              <w:jc w:val="right"/>
            </w:pPr>
            <w:r>
              <w:t xml:space="preserve">36</w:t>
            </w:r>
          </w:p>
        </w:tc>
        <w:tc>
          <w:tcPr/>
          <w:p>
            <w:pPr>
              <w:pStyle w:val="Compact"/>
              <w:jc w:val="right"/>
            </w:pPr>
            <w:r>
              <w:t xml:space="preserve">10.6%</w:t>
            </w:r>
          </w:p>
        </w:tc>
      </w:tr>
    </w:tbl>
    <w:p>
      <w:pPr>
        <w:pStyle w:val="BodyText"/>
      </w:pPr>
      <w:r>
        <w:rPr>
          <w:iCs/>
          <w:i/>
        </w:rPr>
        <w:t xml:space="preserve">Multi-label classification — totals may exceed 100%.</w:t>
      </w:r>
    </w:p>
    <w:bookmarkEnd w:id="45"/>
    <w:bookmarkStart w:id="48" w:name="Xc3a0b8bb5c5ed725a9b0972e240dad668733ec2"/>
    <w:p>
      <w:pPr>
        <w:pStyle w:val="Heading3"/>
      </w:pPr>
      <w:r>
        <w:t xml:space="preserve">Figure 2 — Publication Volume and Topical Trends (2003–2025)</w:t>
      </w:r>
    </w:p>
    <w:bookmarkStart w:id="46" w:name="annual-publication-count"/>
    <w:p>
      <w:pPr>
        <w:pStyle w:val="Heading4"/>
      </w:pPr>
      <w:r>
        <w:t xml:space="preserve">Annual publication count</w:t>
      </w:r>
    </w:p>
    <w:p>
      <w:pPr>
        <w:pStyle w:val="SourceCode"/>
      </w:pPr>
      <w:r>
        <w:rPr>
          <w:rStyle w:val="VerbatimChar"/>
        </w:rPr>
        <w:t xml:space="preserve">  2005 │█ 1</w:t>
      </w:r>
      <w:r>
        <w:br/>
      </w:r>
      <w:r>
        <w:rPr>
          <w:rStyle w:val="VerbatimChar"/>
        </w:rPr>
        <w:t xml:space="preserve">  2008 │███ 3</w:t>
      </w:r>
      <w:r>
        <w:br/>
      </w:r>
      <w:r>
        <w:rPr>
          <w:rStyle w:val="VerbatimChar"/>
        </w:rPr>
        <w:t xml:space="preserve">  2009 │██ 2</w:t>
      </w:r>
      <w:r>
        <w:br/>
      </w:r>
      <w:r>
        <w:rPr>
          <w:rStyle w:val="VerbatimChar"/>
        </w:rPr>
        <w:t xml:space="preserve">  2010 │██ 2</w:t>
      </w:r>
      <w:r>
        <w:br/>
      </w:r>
      <w:r>
        <w:rPr>
          <w:rStyle w:val="VerbatimChar"/>
        </w:rPr>
        <w:t xml:space="preserve">  2011 │████████ 8</w:t>
      </w:r>
      <w:r>
        <w:br/>
      </w:r>
      <w:r>
        <w:rPr>
          <w:rStyle w:val="VerbatimChar"/>
        </w:rPr>
        <w:t xml:space="preserve">  2012 │███████████ 11</w:t>
      </w:r>
      <w:r>
        <w:br/>
      </w:r>
      <w:r>
        <w:rPr>
          <w:rStyle w:val="VerbatimChar"/>
        </w:rPr>
        <w:t xml:space="preserve">  2013 │█████████████ 13</w:t>
      </w:r>
      <w:r>
        <w:br/>
      </w:r>
      <w:r>
        <w:rPr>
          <w:rStyle w:val="VerbatimChar"/>
        </w:rPr>
        <w:t xml:space="preserve">  2014 │█████████ 9</w:t>
      </w:r>
      <w:r>
        <w:br/>
      </w:r>
      <w:r>
        <w:rPr>
          <w:rStyle w:val="VerbatimChar"/>
        </w:rPr>
        <w:t xml:space="preserve">  2015 │████████████ 12</w:t>
      </w:r>
      <w:r>
        <w:br/>
      </w:r>
      <w:r>
        <w:rPr>
          <w:rStyle w:val="VerbatimChar"/>
        </w:rPr>
        <w:t xml:space="preserve">  2016 │████████████████ 16</w:t>
      </w:r>
      <w:r>
        <w:br/>
      </w:r>
      <w:r>
        <w:rPr>
          <w:rStyle w:val="VerbatimChar"/>
        </w:rPr>
        <w:t xml:space="preserve">  2017 │███████████ 11</w:t>
      </w:r>
      <w:r>
        <w:br/>
      </w:r>
      <w:r>
        <w:rPr>
          <w:rStyle w:val="VerbatimChar"/>
        </w:rPr>
        <w:t xml:space="preserve">  2018 │█████████████████ 17</w:t>
      </w:r>
      <w:r>
        <w:br/>
      </w:r>
      <w:r>
        <w:rPr>
          <w:rStyle w:val="VerbatimChar"/>
        </w:rPr>
        <w:t xml:space="preserve">  2019 │█████████████████████ 21</w:t>
      </w:r>
      <w:r>
        <w:br/>
      </w:r>
      <w:r>
        <w:rPr>
          <w:rStyle w:val="VerbatimChar"/>
        </w:rPr>
        <w:t xml:space="preserve">  2020 │█████████████████████████████ 29</w:t>
      </w:r>
      <w:r>
        <w:br/>
      </w:r>
      <w:r>
        <w:rPr>
          <w:rStyle w:val="VerbatimChar"/>
        </w:rPr>
        <w:t xml:space="preserve">  2021 │████████████████████████████████ 32</w:t>
      </w:r>
      <w:r>
        <w:br/>
      </w:r>
      <w:r>
        <w:rPr>
          <w:rStyle w:val="VerbatimChar"/>
        </w:rPr>
        <w:t xml:space="preserve">  2022 │█████████████████████████████████████████ 41</w:t>
      </w:r>
      <w:r>
        <w:br/>
      </w:r>
      <w:r>
        <w:rPr>
          <w:rStyle w:val="VerbatimChar"/>
        </w:rPr>
        <w:t xml:space="preserve">  2023 │███████████████████████████████ 31</w:t>
      </w:r>
      <w:r>
        <w:br/>
      </w:r>
      <w:r>
        <w:rPr>
          <w:rStyle w:val="VerbatimChar"/>
        </w:rPr>
        <w:t xml:space="preserve">  2024 │██████████████████████████████████████ 38</w:t>
      </w:r>
      <w:r>
        <w:br/>
      </w:r>
      <w:r>
        <w:rPr>
          <w:rStyle w:val="VerbatimChar"/>
        </w:rPr>
        <w:t xml:space="preserve">  2025 │███████████████████████████████████████████ 43</w:t>
      </w:r>
    </w:p>
    <w:bookmarkEnd w:id="46"/>
    <w:bookmarkStart w:id="47" w:name="topic-frequency-by-era"/>
    <w:p>
      <w:pPr>
        <w:pStyle w:val="Heading4"/>
      </w:pPr>
      <w:r>
        <w:t xml:space="preserve">Topic frequency by era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Topic</w:t>
            </w:r>
          </w:p>
        </w:tc>
        <w:tc>
          <w:tcPr/>
          <w:p>
            <w:pPr>
              <w:pStyle w:val="Compact"/>
              <w:jc w:val="right"/>
            </w:pPr>
            <w:r>
              <w:t xml:space="preserve">2003–2010</w:t>
            </w:r>
          </w:p>
        </w:tc>
        <w:tc>
          <w:tcPr/>
          <w:p>
            <w:pPr>
              <w:pStyle w:val="Compact"/>
              <w:jc w:val="right"/>
            </w:pPr>
            <w:r>
              <w:t xml:space="preserve">2011–2018</w:t>
            </w:r>
          </w:p>
        </w:tc>
        <w:tc>
          <w:tcPr/>
          <w:p>
            <w:pPr>
              <w:pStyle w:val="Compact"/>
              <w:jc w:val="right"/>
            </w:pPr>
            <w:r>
              <w:t xml:space="preserve">2019–2023</w:t>
            </w:r>
          </w:p>
        </w:tc>
        <w:tc>
          <w:tcPr/>
          <w:p>
            <w:pPr>
              <w:pStyle w:val="Compact"/>
              <w:jc w:val="right"/>
            </w:pPr>
            <w:r>
              <w:t xml:space="preserve">2024–2025</w:t>
            </w:r>
          </w:p>
        </w:tc>
      </w:tr>
      <w:tr>
        <w:tc>
          <w:tcPr/>
          <w:p>
            <w:pPr>
              <w:pStyle w:val="Compact"/>
              <w:jc w:val="left"/>
            </w:pPr>
            <w:r>
              <w:rPr>
                <w:rStyle w:val="VerbatimChar"/>
              </w:rPr>
              <w:t xml:space="preserve">biofilm</w:t>
            </w:r>
          </w:p>
        </w:tc>
        <w:tc>
          <w:tcPr/>
          <w:p>
            <w:pPr>
              <w:pStyle w:val="Compact"/>
              <w:jc w:val="right"/>
            </w:pPr>
            <w:r>
              <w:t xml:space="preserve">4</w:t>
            </w:r>
          </w:p>
        </w:tc>
        <w:tc>
          <w:tcPr/>
          <w:p>
            <w:pPr>
              <w:pStyle w:val="Compact"/>
              <w:jc w:val="right"/>
            </w:pPr>
            <w:r>
              <w:t xml:space="preserve">62</w:t>
            </w:r>
          </w:p>
        </w:tc>
        <w:tc>
          <w:tcPr/>
          <w:p>
            <w:pPr>
              <w:pStyle w:val="Compact"/>
              <w:jc w:val="right"/>
            </w:pPr>
            <w:r>
              <w:t xml:space="preserve">132</w:t>
            </w:r>
          </w:p>
        </w:tc>
        <w:tc>
          <w:tcPr/>
          <w:p>
            <w:pPr>
              <w:pStyle w:val="Compact"/>
              <w:jc w:val="right"/>
            </w:pPr>
            <w:r>
              <w:t xml:space="preserve">64</w:t>
            </w:r>
          </w:p>
        </w:tc>
      </w:tr>
      <w:tr>
        <w:tc>
          <w:tcPr/>
          <w:p>
            <w:pPr>
              <w:pStyle w:val="Compact"/>
              <w:jc w:val="left"/>
            </w:pPr>
            <w:r>
              <w:rPr>
                <w:rStyle w:val="VerbatimChar"/>
              </w:rPr>
              <w:t xml:space="preserve">abaI_abaR_axis</w:t>
            </w:r>
          </w:p>
        </w:tc>
        <w:tc>
          <w:tcPr/>
          <w:p>
            <w:pPr>
              <w:pStyle w:val="Compact"/>
              <w:jc w:val="right"/>
            </w:pPr>
            <w:r>
              <w:t xml:space="preserve">3</w:t>
            </w:r>
          </w:p>
        </w:tc>
        <w:tc>
          <w:tcPr/>
          <w:p>
            <w:pPr>
              <w:pStyle w:val="Compact"/>
              <w:jc w:val="right"/>
            </w:pPr>
            <w:r>
              <w:t xml:space="preserve">55</w:t>
            </w:r>
          </w:p>
        </w:tc>
        <w:tc>
          <w:tcPr/>
          <w:p>
            <w:pPr>
              <w:pStyle w:val="Compact"/>
              <w:jc w:val="right"/>
            </w:pPr>
            <w:r>
              <w:t xml:space="preserve">82</w:t>
            </w:r>
          </w:p>
        </w:tc>
        <w:tc>
          <w:tcPr/>
          <w:p>
            <w:pPr>
              <w:pStyle w:val="Compact"/>
              <w:jc w:val="right"/>
            </w:pPr>
            <w:r>
              <w:t xml:space="preserve">38</w:t>
            </w:r>
          </w:p>
        </w:tc>
      </w:tr>
      <w:tr>
        <w:tc>
          <w:tcPr/>
          <w:p>
            <w:pPr>
              <w:pStyle w:val="Compact"/>
              <w:jc w:val="left"/>
            </w:pPr>
            <w:r>
              <w:rPr>
                <w:rStyle w:val="VerbatimChar"/>
              </w:rPr>
              <w:t xml:space="preserve">ahl_chemistry</w:t>
            </w:r>
          </w:p>
        </w:tc>
        <w:tc>
          <w:tcPr/>
          <w:p>
            <w:pPr>
              <w:pStyle w:val="Compact"/>
              <w:jc w:val="right"/>
            </w:pPr>
            <w:r>
              <w:t xml:space="preserve">5</w:t>
            </w:r>
          </w:p>
        </w:tc>
        <w:tc>
          <w:tcPr/>
          <w:p>
            <w:pPr>
              <w:pStyle w:val="Compact"/>
              <w:jc w:val="right"/>
            </w:pPr>
            <w:r>
              <w:t xml:space="preserve">42</w:t>
            </w:r>
          </w:p>
        </w:tc>
        <w:tc>
          <w:tcPr/>
          <w:p>
            <w:pPr>
              <w:pStyle w:val="Compact"/>
              <w:jc w:val="right"/>
            </w:pPr>
            <w:r>
              <w:t xml:space="preserve">72</w:t>
            </w:r>
          </w:p>
        </w:tc>
        <w:tc>
          <w:tcPr/>
          <w:p>
            <w:pPr>
              <w:pStyle w:val="Compact"/>
              <w:jc w:val="right"/>
            </w:pPr>
            <w:r>
              <w:t xml:space="preserve">27</w:t>
            </w:r>
          </w:p>
        </w:tc>
      </w:tr>
      <w:tr>
        <w:tc>
          <w:tcPr/>
          <w:p>
            <w:pPr>
              <w:pStyle w:val="Compact"/>
              <w:jc w:val="left"/>
            </w:pPr>
            <w:r>
              <w:rPr>
                <w:rStyle w:val="VerbatimChar"/>
              </w:rPr>
              <w:t xml:space="preserve">natural_product</w:t>
            </w:r>
          </w:p>
        </w:tc>
        <w:tc>
          <w:tcPr/>
          <w:p>
            <w:pPr>
              <w:pStyle w:val="Compact"/>
              <w:jc w:val="right"/>
            </w:pPr>
            <w:r>
              <w:t xml:space="preserve">0</w:t>
            </w:r>
          </w:p>
        </w:tc>
        <w:tc>
          <w:tcPr/>
          <w:p>
            <w:pPr>
              <w:pStyle w:val="Compact"/>
              <w:jc w:val="right"/>
            </w:pPr>
            <w:r>
              <w:t xml:space="preserve">8</w:t>
            </w:r>
          </w:p>
        </w:tc>
        <w:tc>
          <w:tcPr/>
          <w:p>
            <w:pPr>
              <w:pStyle w:val="Compact"/>
              <w:jc w:val="right"/>
            </w:pPr>
            <w:r>
              <w:t xml:space="preserve">40</w:t>
            </w:r>
          </w:p>
        </w:tc>
        <w:tc>
          <w:tcPr/>
          <w:p>
            <w:pPr>
              <w:pStyle w:val="Compact"/>
              <w:jc w:val="right"/>
            </w:pPr>
            <w:r>
              <w:t xml:space="preserve">23</w:t>
            </w:r>
          </w:p>
        </w:tc>
      </w:tr>
      <w:tr>
        <w:tc>
          <w:tcPr/>
          <w:p>
            <w:pPr>
              <w:pStyle w:val="Compact"/>
              <w:jc w:val="left"/>
            </w:pPr>
            <w:r>
              <w:rPr>
                <w:rStyle w:val="VerbatimChar"/>
              </w:rPr>
              <w:t xml:space="preserve">phage_therapy</w:t>
            </w:r>
          </w:p>
        </w:tc>
        <w:tc>
          <w:tcPr/>
          <w:p>
            <w:pPr>
              <w:pStyle w:val="Compact"/>
              <w:jc w:val="right"/>
            </w:pPr>
            <w:r>
              <w:t xml:space="preserve">0</w:t>
            </w:r>
          </w:p>
        </w:tc>
        <w:tc>
          <w:tcPr/>
          <w:p>
            <w:pPr>
              <w:pStyle w:val="Compact"/>
              <w:jc w:val="right"/>
            </w:pPr>
            <w:r>
              <w:t xml:space="preserve">7</w:t>
            </w:r>
          </w:p>
        </w:tc>
        <w:tc>
          <w:tcPr/>
          <w:p>
            <w:pPr>
              <w:pStyle w:val="Compact"/>
              <w:jc w:val="right"/>
            </w:pPr>
            <w:r>
              <w:t xml:space="preserve">27</w:t>
            </w:r>
          </w:p>
        </w:tc>
        <w:tc>
          <w:tcPr/>
          <w:p>
            <w:pPr>
              <w:pStyle w:val="Compact"/>
              <w:jc w:val="right"/>
            </w:pPr>
            <w:r>
              <w:t xml:space="preserve">17</w:t>
            </w:r>
          </w:p>
        </w:tc>
      </w:tr>
      <w:tr>
        <w:tc>
          <w:tcPr/>
          <w:p>
            <w:pPr>
              <w:pStyle w:val="Compact"/>
              <w:jc w:val="left"/>
            </w:pPr>
            <w:r>
              <w:rPr>
                <w:rStyle w:val="VerbatimChar"/>
              </w:rPr>
              <w:t xml:space="preserve">qsi_discovery</w:t>
            </w:r>
          </w:p>
        </w:tc>
        <w:tc>
          <w:tcPr/>
          <w:p>
            <w:pPr>
              <w:pStyle w:val="Compact"/>
              <w:jc w:val="right"/>
            </w:pPr>
            <w:r>
              <w:t xml:space="preserve">1</w:t>
            </w:r>
          </w:p>
        </w:tc>
        <w:tc>
          <w:tcPr/>
          <w:p>
            <w:pPr>
              <w:pStyle w:val="Compact"/>
              <w:jc w:val="right"/>
            </w:pPr>
            <w:r>
              <w:t xml:space="preserve">8</w:t>
            </w:r>
          </w:p>
        </w:tc>
        <w:tc>
          <w:tcPr/>
          <w:p>
            <w:pPr>
              <w:pStyle w:val="Compact"/>
              <w:jc w:val="right"/>
            </w:pPr>
            <w:r>
              <w:t xml:space="preserve">47</w:t>
            </w:r>
          </w:p>
        </w:tc>
        <w:tc>
          <w:tcPr/>
          <w:p>
            <w:pPr>
              <w:pStyle w:val="Compact"/>
              <w:jc w:val="right"/>
            </w:pPr>
            <w:r>
              <w:t xml:space="preserve">24</w:t>
            </w:r>
          </w:p>
        </w:tc>
      </w:tr>
      <w:tr>
        <w:tc>
          <w:tcPr/>
          <w:p>
            <w:pPr>
              <w:pStyle w:val="Compact"/>
              <w:jc w:val="left"/>
            </w:pPr>
            <w:r>
              <w:rPr>
                <w:rStyle w:val="VerbatimChar"/>
              </w:rPr>
              <w:t xml:space="preserve">quorum_quenching</w:t>
            </w:r>
          </w:p>
        </w:tc>
        <w:tc>
          <w:tcPr/>
          <w:p>
            <w:pPr>
              <w:pStyle w:val="Compact"/>
              <w:jc w:val="right"/>
            </w:pPr>
            <w:r>
              <w:t xml:space="preserve">2</w:t>
            </w:r>
          </w:p>
        </w:tc>
        <w:tc>
          <w:tcPr/>
          <w:p>
            <w:pPr>
              <w:pStyle w:val="Compact"/>
              <w:jc w:val="right"/>
            </w:pPr>
            <w:r>
              <w:t xml:space="preserve">14</w:t>
            </w:r>
          </w:p>
        </w:tc>
        <w:tc>
          <w:tcPr/>
          <w:p>
            <w:pPr>
              <w:pStyle w:val="Compact"/>
              <w:jc w:val="right"/>
            </w:pPr>
            <w:r>
              <w:t xml:space="preserve">33</w:t>
            </w:r>
          </w:p>
        </w:tc>
        <w:tc>
          <w:tcPr/>
          <w:p>
            <w:pPr>
              <w:pStyle w:val="Compact"/>
              <w:jc w:val="right"/>
            </w:pPr>
            <w:r>
              <w:t xml:space="preserve">9</w:t>
            </w:r>
          </w:p>
        </w:tc>
      </w:tr>
      <w:tr>
        <w:tc>
          <w:tcPr/>
          <w:p>
            <w:pPr>
              <w:pStyle w:val="Compact"/>
              <w:jc w:val="left"/>
            </w:pPr>
            <w:r>
              <w:rPr>
                <w:rStyle w:val="VerbatimChar"/>
              </w:rPr>
              <w:t xml:space="preserve">nanoparticle</w:t>
            </w:r>
          </w:p>
        </w:tc>
        <w:tc>
          <w:tcPr/>
          <w:p>
            <w:pPr>
              <w:pStyle w:val="Compact"/>
              <w:jc w:val="right"/>
            </w:pPr>
            <w:r>
              <w:t xml:space="preserve">0</w:t>
            </w:r>
          </w:p>
        </w:tc>
        <w:tc>
          <w:tcPr/>
          <w:p>
            <w:pPr>
              <w:pStyle w:val="Compact"/>
              <w:jc w:val="right"/>
            </w:pPr>
            <w:r>
              <w:t xml:space="preserve">1</w:t>
            </w:r>
          </w:p>
        </w:tc>
        <w:tc>
          <w:tcPr/>
          <w:p>
            <w:pPr>
              <w:pStyle w:val="Compact"/>
              <w:jc w:val="right"/>
            </w:pPr>
            <w:r>
              <w:t xml:space="preserve">17</w:t>
            </w:r>
          </w:p>
        </w:tc>
        <w:tc>
          <w:tcPr/>
          <w:p>
            <w:pPr>
              <w:pStyle w:val="Compact"/>
              <w:jc w:val="right"/>
            </w:pPr>
            <w:r>
              <w:t xml:space="preserve">4</w:t>
            </w:r>
          </w:p>
        </w:tc>
      </w:tr>
      <w:tr>
        <w:tc>
          <w:tcPr/>
          <w:p>
            <w:pPr>
              <w:pStyle w:val="Compact"/>
              <w:jc w:val="left"/>
            </w:pPr>
            <w:r>
              <w:rPr>
                <w:rStyle w:val="VerbatimChar"/>
              </w:rPr>
              <w:t xml:space="preserve">polymicrobial</w:t>
            </w:r>
          </w:p>
        </w:tc>
        <w:tc>
          <w:tcPr/>
          <w:p>
            <w:pPr>
              <w:pStyle w:val="Compact"/>
              <w:jc w:val="right"/>
            </w:pPr>
            <w:r>
              <w:t xml:space="preserve">1</w:t>
            </w:r>
          </w:p>
        </w:tc>
        <w:tc>
          <w:tcPr/>
          <w:p>
            <w:pPr>
              <w:pStyle w:val="Compact"/>
              <w:jc w:val="right"/>
            </w:pPr>
            <w:r>
              <w:t xml:space="preserve">8</w:t>
            </w:r>
          </w:p>
        </w:tc>
        <w:tc>
          <w:tcPr/>
          <w:p>
            <w:pPr>
              <w:pStyle w:val="Compact"/>
              <w:jc w:val="right"/>
            </w:pPr>
            <w:r>
              <w:t xml:space="preserve">20</w:t>
            </w:r>
          </w:p>
        </w:tc>
        <w:tc>
          <w:tcPr/>
          <w:p>
            <w:pPr>
              <w:pStyle w:val="Compact"/>
              <w:jc w:val="right"/>
            </w:pPr>
            <w:r>
              <w:t xml:space="preserve">7</w:t>
            </w:r>
          </w:p>
        </w:tc>
      </w:tr>
      <w:tr>
        <w:tc>
          <w:tcPr/>
          <w:p>
            <w:pPr>
              <w:pStyle w:val="Compact"/>
              <w:jc w:val="left"/>
            </w:pPr>
            <w:r>
              <w:rPr>
                <w:rStyle w:val="VerbatimChar"/>
              </w:rPr>
              <w:t xml:space="preserve">drug_repurposing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3</w:t>
            </w:r>
          </w:p>
        </w:tc>
      </w:tr>
      <w:tr>
        <w:tc>
          <w:tcPr/>
          <w:p>
            <w:pPr>
              <w:pStyle w:val="Compact"/>
              <w:jc w:val="left"/>
            </w:pPr>
            <w:r>
              <w:rPr>
                <w:rStyle w:val="VerbatimChar"/>
              </w:rPr>
              <w:t xml:space="preserve">vaccine_immune</w:t>
            </w:r>
          </w:p>
        </w:tc>
        <w:tc>
          <w:tcPr/>
          <w:p>
            <w:pPr>
              <w:pStyle w:val="Compact"/>
              <w:jc w:val="right"/>
            </w:pPr>
            <w:r>
              <w:t xml:space="preserve">0</w:t>
            </w:r>
          </w:p>
        </w:tc>
        <w:tc>
          <w:tcPr/>
          <w:p>
            <w:pPr>
              <w:pStyle w:val="Compact"/>
              <w:jc w:val="right"/>
            </w:pPr>
            <w:r>
              <w:t xml:space="preserve">9</w:t>
            </w:r>
          </w:p>
        </w:tc>
        <w:tc>
          <w:tcPr/>
          <w:p>
            <w:pPr>
              <w:pStyle w:val="Compact"/>
              <w:jc w:val="right"/>
            </w:pPr>
            <w:r>
              <w:t xml:space="preserve">26</w:t>
            </w:r>
          </w:p>
        </w:tc>
        <w:tc>
          <w:tcPr/>
          <w:p>
            <w:pPr>
              <w:pStyle w:val="Compact"/>
              <w:jc w:val="right"/>
            </w:pPr>
            <w:r>
              <w:t xml:space="preserve">12</w:t>
            </w:r>
          </w:p>
        </w:tc>
      </w:tr>
    </w:tbl>
    <w:bookmarkEnd w:id="47"/>
    <w:bookmarkEnd w:id="48"/>
    <w:bookmarkStart w:id="56" w:name="X24a4840618fcf09d4ce58c4adec8466da74c2a5"/>
    <w:p>
      <w:pPr>
        <w:pStyle w:val="Heading3"/>
      </w:pPr>
      <w:r>
        <w:t xml:space="preserve">3.3 The</w:t>
      </w:r>
      <w:r>
        <w:t xml:space="preserve"> </w:t>
      </w:r>
      <w:r>
        <w:rPr>
          <w:iCs/>
          <w:i/>
        </w:rPr>
        <w:t xml:space="preserve">A. baumannii</w:t>
      </w:r>
      <w:r>
        <w:t xml:space="preserve"> </w:t>
      </w:r>
      <w:r>
        <w:t xml:space="preserve">Quorum-Sensing Molecular Network</w:t>
      </w:r>
    </w:p>
    <w:p>
      <w:pPr>
        <w:pStyle w:val="FirstParagraph"/>
      </w:pPr>
      <w:r>
        <w:t xml:space="preserve">Quorum sensing (QS) in</w:t>
      </w:r>
      <w:r>
        <w:t xml:space="preserve"> </w:t>
      </w:r>
      <w:r>
        <w:rPr>
          <w:iCs/>
          <w:i/>
        </w:rPr>
        <w:t xml:space="preserve">Acinetobacter baumannii</w:t>
      </w:r>
      <w:r>
        <w:t xml:space="preserve"> </w:t>
      </w:r>
      <w:r>
        <w:t xml:space="preserve">is now understood as a multi-layered regulatory web rather than a single LuxI/LuxR circuit. The N-acyl-homoserine lactone (AHL) axis identified two decades ago remains the canonical core, but contemporary work has integrated it with an indole-receptor system, three nucleotide second-messenger pools, several two-component systems (TCSs), and a small set of accessory regulators (AbaM, ABUW_1132, CavA/VfrAb, DksA, ddrR) that together coordinate biofilm, efflux, surface and motility phenotypes [1,2,3]. The following sub-sections summarise the components, signal chemistry, cross-regulation and unresolved questions of this network as currently mapped in the 218 full-text and 122 abstract-only studies included in this review.</w:t>
      </w:r>
    </w:p>
    <w:bookmarkStart w:id="49" w:name="X0bc5235393d5fe50986cad0398c8c86bf862549"/>
    <w:p>
      <w:pPr>
        <w:pStyle w:val="Heading4"/>
      </w:pPr>
      <w:r>
        <w:t xml:space="preserve">3.3.1 The abaI/abaR axis: the canonical LuxI/LuxR-type system</w:t>
      </w:r>
    </w:p>
    <w:p>
      <w:pPr>
        <w:pStyle w:val="FirstParagraph"/>
      </w:pPr>
      <w:r>
        <w:t xml:space="preserve">The founding component of the network is the</w:t>
      </w:r>
      <w:r>
        <w:t xml:space="preserve"> </w:t>
      </w:r>
      <w:r>
        <w:rPr>
          <w:iCs/>
          <w:i/>
        </w:rPr>
        <w:t xml:space="preserve">abaI</w:t>
      </w:r>
      <w:r>
        <w:t xml:space="preserve">/</w:t>
      </w:r>
      <w:r>
        <w:rPr>
          <w:iCs/>
          <w:i/>
        </w:rPr>
        <w:t xml:space="preserve">abaR</w:t>
      </w:r>
      <w:r>
        <w:t xml:space="preserve"> </w:t>
      </w:r>
      <w:r>
        <w:t xml:space="preserve">pair, identified in</w:t>
      </w:r>
      <w:r>
        <w:t xml:space="preserve"> </w:t>
      </w:r>
      <w:r>
        <w:rPr>
          <w:iCs/>
          <w:i/>
        </w:rPr>
        <w:t xml:space="preserve">A. baumannii</w:t>
      </w:r>
      <w:r>
        <w:t xml:space="preserve"> </w:t>
      </w:r>
      <w:r>
        <w:t xml:space="preserve">strain M2 by Niu and colleagues [1]. AbaI is a LuxI-family acyl-homoserine lactone synthase predicted to be the sole AHL synthase encoded by the species; AbaR is the cognate LuxR-family transcriptional regulator [1,2,3]. A</w:t>
      </w:r>
      <w:r>
        <w:t xml:space="preserve"> </w:t>
      </w:r>
      <w:r>
        <w:rPr>
          <w:iCs/>
          <w:i/>
        </w:rPr>
        <w:t xml:space="preserve">lux</w:t>
      </w:r>
      <w:r>
        <w:t xml:space="preserve">-box-like sequence (CTGTAAATTCTTACAG) located ~67 bp upstream of</w:t>
      </w:r>
      <w:r>
        <w:t xml:space="preserve"> </w:t>
      </w:r>
      <w:r>
        <w:rPr>
          <w:iCs/>
          <w:i/>
        </w:rPr>
        <w:t xml:space="preserve">abaI</w:t>
      </w:r>
      <w:r>
        <w:t xml:space="preserve"> </w:t>
      </w:r>
      <w:r>
        <w:t xml:space="preserve">mediates a positive-feedback loop in which the AHL–AbaR complex activates further</w:t>
      </w:r>
      <w:r>
        <w:t xml:space="preserve"> </w:t>
      </w:r>
      <w:r>
        <w:rPr>
          <w:iCs/>
          <w:i/>
        </w:rPr>
        <w:t xml:space="preserve">abaI</w:t>
      </w:r>
      <w:r>
        <w:t xml:space="preserve"> </w:t>
      </w:r>
      <w:r>
        <w:t xml:space="preserve">transcription, producing the cell-density-dependent step characteristic of LuxI/LuxR circuits [Cui 2025_2]. A targeted</w:t>
      </w:r>
      <w:r>
        <w:t xml:space="preserve"> </w:t>
      </w:r>
      <w:r>
        <w:rPr>
          <w:iCs/>
          <w:i/>
        </w:rPr>
        <w:t xml:space="preserve">abaI</w:t>
      </w:r>
      <w:r>
        <w:t xml:space="preserve">::Km mutant in strain M2 failed to produce detectable AHLs and showed approximately 40% reduction in biofilm biomass relative to wild-type, with subsequent independent reproductions confirming reduced surface motility, attenuated virulence in</w:t>
      </w:r>
      <w:r>
        <w:t xml:space="preserve"> </w:t>
      </w:r>
      <w:r>
        <w:rPr>
          <w:iCs/>
          <w:i/>
        </w:rPr>
        <w:t xml:space="preserve">Galleria</w:t>
      </w:r>
      <w:r>
        <w:t xml:space="preserve"> </w:t>
      </w:r>
      <w:r>
        <w:t xml:space="preserve">and murine models, and increased serum susceptibility for ∆</w:t>
      </w:r>
      <w:r>
        <w:rPr>
          <w:iCs/>
          <w:i/>
        </w:rPr>
        <w:t xml:space="preserve">abaI</w:t>
      </w:r>
      <w:r>
        <w:t xml:space="preserve"> </w:t>
      </w:r>
      <w:r>
        <w:t xml:space="preserve">and ∆</w:t>
      </w:r>
      <w:r>
        <w:rPr>
          <w:iCs/>
          <w:i/>
        </w:rPr>
        <w:t xml:space="preserve">abaIR</w:t>
      </w:r>
      <w:r>
        <w:t xml:space="preserve"> </w:t>
      </w:r>
      <w:r>
        <w:t xml:space="preserve">derivatives [1,4,5]. Phylogenetic analyses suggest that</w:t>
      </w:r>
      <w:r>
        <w:t xml:space="preserve"> </w:t>
      </w:r>
      <w:r>
        <w:rPr>
          <w:iCs/>
          <w:i/>
        </w:rPr>
        <w:t xml:space="preserve">abaI</w:t>
      </w:r>
      <w:r>
        <w:t xml:space="preserve"> </w:t>
      </w:r>
      <w:r>
        <w:t xml:space="preserve">and</w:t>
      </w:r>
      <w:r>
        <w:t xml:space="preserve"> </w:t>
      </w:r>
      <w:r>
        <w:rPr>
          <w:iCs/>
          <w:i/>
        </w:rPr>
        <w:t xml:space="preserve">abaR</w:t>
      </w:r>
      <w:r>
        <w:t xml:space="preserve"> </w:t>
      </w:r>
      <w:r>
        <w:t xml:space="preserve">were horizontally acquired, with closest similarity to homologues in</w:t>
      </w:r>
      <w:r>
        <w:t xml:space="preserve"> </w:t>
      </w:r>
      <w:r>
        <w:rPr>
          <w:iCs/>
          <w:i/>
        </w:rPr>
        <w:t xml:space="preserve">Halothiobacillus neapolitanus</w:t>
      </w:r>
      <w:r>
        <w:t xml:space="preserve"> </w:t>
      </w:r>
      <w:r>
        <w:t xml:space="preserve">rather than the related</w:t>
      </w:r>
      <w:r>
        <w:t xml:space="preserve"> </w:t>
      </w:r>
      <w:r>
        <w:rPr>
          <w:iCs/>
          <w:i/>
        </w:rPr>
        <w:t xml:space="preserve">Burkholderia</w:t>
      </w:r>
      <w:r>
        <w:t xml:space="preserve"> </w:t>
      </w:r>
      <w:r>
        <w:t xml:space="preserve">clade [3].</w:t>
      </w:r>
    </w:p>
    <w:p>
      <w:pPr>
        <w:pStyle w:val="BodyText"/>
      </w:pPr>
      <w:r>
        <w:t xml:space="preserve">Mechanistically, structural and binding studies of AbaR confirm conventional LuxR-type architecture: an N-terminal autoinducer-binding domain plus a C-terminal helix-turn-helix DNA-binding domain that engages target promoters in the AHL-bound state [2,6]. Transcriptome profiling of an</w:t>
      </w:r>
      <w:r>
        <w:t xml:space="preserve"> </w:t>
      </w:r>
      <w:r>
        <w:rPr>
          <w:iCs/>
          <w:i/>
        </w:rPr>
        <w:t xml:space="preserve">abaR</w:t>
      </w:r>
      <w:r>
        <w:t xml:space="preserve"> </w:t>
      </w:r>
      <w:r>
        <w:t xml:space="preserve">knockdown identified scores of differentially expressed loci including A1S_3544, A1S_0849, A1S_3867 and A1S_3011, indicating that AbaR has a regulon well beyond</w:t>
      </w:r>
      <w:r>
        <w:t xml:space="preserve"> </w:t>
      </w:r>
      <w:r>
        <w:rPr>
          <w:iCs/>
          <w:i/>
        </w:rPr>
        <w:t xml:space="preserve">abaI</w:t>
      </w:r>
      <w:r>
        <w:t xml:space="preserve"> </w:t>
      </w:r>
      <w:r>
        <w:t xml:space="preserve">itself [6]. The accessory regulator AbaM, encoded immediately downstream of</w:t>
      </w:r>
      <w:r>
        <w:t xml:space="preserve"> </w:t>
      </w:r>
      <w:r>
        <w:rPr>
          <w:iCs/>
          <w:i/>
        </w:rPr>
        <w:t xml:space="preserve">abaI</w:t>
      </w:r>
      <w:r>
        <w:t xml:space="preserve">, acts as a brake on AHL output; loss of</w:t>
      </w:r>
      <w:r>
        <w:t xml:space="preserve"> </w:t>
      </w:r>
      <w:r>
        <w:rPr>
          <w:iCs/>
          <w:i/>
        </w:rPr>
        <w:t xml:space="preserve">abaM</w:t>
      </w:r>
      <w:r>
        <w:t xml:space="preserve"> </w:t>
      </w:r>
      <w:r>
        <w:t xml:space="preserve">increases AHL titres, surface motility and biofilm biomass, while reducing virulence — establishing it as a paradoxical attenuator that uncouples QS-driven biofilm from systemic virulence [7]. Two further upstream modulators have been described: the LysR-type regulator ABUW_1132, which positively regulates</w:t>
      </w:r>
      <w:r>
        <w:t xml:space="preserve"> </w:t>
      </w:r>
      <w:r>
        <w:rPr>
          <w:iCs/>
          <w:i/>
        </w:rPr>
        <w:t xml:space="preserve">abaIR</w:t>
      </w:r>
      <w:r>
        <w:t xml:space="preserve"> </w:t>
      </w:r>
      <w:r>
        <w:t xml:space="preserve">transcription (its deletion causes a 16-fold drop in 3-OH-C12-HSL and switches the VIR-O virulent variant to the AV-T avirulent variant) [8]; and the CRISPR-Cas system, which can target endogenous</w:t>
      </w:r>
      <w:r>
        <w:t xml:space="preserve"> </w:t>
      </w:r>
      <w:r>
        <w:rPr>
          <w:iCs/>
          <w:i/>
        </w:rPr>
        <w:t xml:space="preserve">abaI</w:t>
      </w:r>
      <w:r>
        <w:t xml:space="preserve"> </w:t>
      </w:r>
      <w:r>
        <w:t xml:space="preserve">and thereby alters antibiotic susceptibility [Wang 2022_2].</w:t>
      </w:r>
    </w:p>
    <w:p>
      <w:pPr>
        <w:pStyle w:val="BodyText"/>
      </w:pPr>
      <w:r>
        <w:rPr>
          <w:iCs/>
          <w:i/>
        </w:rPr>
        <w:t xml:space="preserve">Mechanistic schema (Figure 3A, suggested):</w:t>
      </w:r>
      <w:r>
        <w:t xml:space="preserve"> </w:t>
      </w:r>
      <w:r>
        <w:t xml:space="preserve">AbaI condenses S-adenosyl-methionine with a 3-hydroxydodecanoyl-ACP donor to synthesise 3-OH-C12-HSL → AHL diffuses across the membrane → at threshold density it binds AbaR → AbaR-AHL homodimer recognises the</w:t>
      </w:r>
      <w:r>
        <w:t xml:space="preserve"> </w:t>
      </w:r>
      <w:r>
        <w:rPr>
          <w:iCs/>
          <w:i/>
        </w:rPr>
        <w:t xml:space="preserve">lux</w:t>
      </w:r>
      <w:r>
        <w:t xml:space="preserve">-box upstream of</w:t>
      </w:r>
      <w:r>
        <w:t xml:space="preserve"> </w:t>
      </w:r>
      <w:r>
        <w:rPr>
          <w:iCs/>
          <w:i/>
        </w:rPr>
        <w:t xml:space="preserve">abaI</w:t>
      </w:r>
      <w:r>
        <w:t xml:space="preserve"> </w:t>
      </w:r>
      <w:r>
        <w:t xml:space="preserve">and additional QS-target promoters → coordinated activation of biofilm, motility, efflux and virulence regulons → AbaM and AidA (see 3.3.7) provide feedback dampening, while ABUW_1132 (LysR) and (p)ppGpp/RelA provide nutritional and stress-state inputs.</w:t>
      </w:r>
    </w:p>
    <w:bookmarkEnd w:id="49"/>
    <w:bookmarkStart w:id="50" w:name="Xed1ee30a014593611fcb8b1731ddb6c3351d94b"/>
    <w:p>
      <w:pPr>
        <w:pStyle w:val="Heading4"/>
      </w:pPr>
      <w:r>
        <w:t xml:space="preserve">3.3.2 Signal chemistry: 3-OH-C12-HSL and its analogues</w:t>
      </w:r>
    </w:p>
    <w:p>
      <w:pPr>
        <w:pStyle w:val="FirstParagraph"/>
      </w:pPr>
      <w:r>
        <w:t xml:space="preserve">Mass-spectrometric profiling of</w:t>
      </w:r>
      <w:r>
        <w:t xml:space="preserve"> </w:t>
      </w:r>
      <w:r>
        <w:rPr>
          <w:iCs/>
          <w:i/>
        </w:rPr>
        <w:t xml:space="preserve">A. baumannii</w:t>
      </w:r>
      <w:r>
        <w:t xml:space="preserve"> </w:t>
      </w:r>
      <w:r>
        <w:t xml:space="preserve">M2 supernatants identified N-(3-hydroxydodecanoyl)-L-homoserine lactone (3-OH-C12-HSL; also written OH-C12 or OHdDHL) as the dominant AHL, accompanied by minor amounts of unsubstituted C10-HSL and C12-HSL, 3-hydroxy-C10-HSL, unsaturated 3-oxo-C11-HSL, and C14-HSL [1,2]. Subsequent surveys of clinical and environmental</w:t>
      </w:r>
      <w:r>
        <w:t xml:space="preserve"> </w:t>
      </w:r>
      <w:r>
        <w:rPr>
          <w:iCs/>
          <w:i/>
        </w:rPr>
        <w:t xml:space="preserve">Acinetobacter</w:t>
      </w:r>
      <w:r>
        <w:t xml:space="preserve"> </w:t>
      </w:r>
      <w:r>
        <w:t xml:space="preserve">isolates have shown that AHL chain length (C6–C14) and substitution patterns vary between strains and lineages but converge on medium- to long-chain 3-hydroxy species, with short-chain (C6, C8) AHLs detected at sub-nM levels in ATCC 17978 supernatants [9,10,11]. Recent LC-MS/MS quantification in plasma from burn patients with</w:t>
      </w:r>
      <w:r>
        <w:t xml:space="preserve"> </w:t>
      </w:r>
      <w:r>
        <w:rPr>
          <w:iCs/>
          <w:i/>
        </w:rPr>
        <w:t xml:space="preserve">A. baumannii</w:t>
      </w:r>
      <w:r>
        <w:t xml:space="preserve"> </w:t>
      </w:r>
      <w:r>
        <w:t xml:space="preserve">septic shock demonstrated that 3-OH-C12-HSL is detectable in vivo, supporting clinical relevance of the signal [12].</w:t>
      </w:r>
    </w:p>
    <w:p>
      <w:pPr>
        <w:pStyle w:val="BodyText"/>
      </w:pPr>
      <w:r>
        <w:t xml:space="preserve">Stereochemistry studies by Garner et al. and Stacy et al. found that, unusually for LuxR systems, AbaR responds nearly identically to (R)- and (S)-3-OH-C12-HSL (EC50 0.67 and 0.82 μM respectively) — a stereochemical insignificance that contrasts with strict R-preference in</w:t>
      </w:r>
      <w:r>
        <w:t xml:space="preserve"> </w:t>
      </w:r>
      <w:r>
        <w:rPr>
          <w:iCs/>
          <w:i/>
        </w:rPr>
        <w:t xml:space="preserve">P. aeruginosa</w:t>
      </w:r>
      <w:r>
        <w:t xml:space="preserve"> </w:t>
      </w:r>
      <w:r>
        <w:t xml:space="preserve">LasR and</w:t>
      </w:r>
      <w:r>
        <w:t xml:space="preserve"> </w:t>
      </w:r>
      <w:r>
        <w:rPr>
          <w:iCs/>
          <w:i/>
        </w:rPr>
        <w:t xml:space="preserve">P. putida</w:t>
      </w:r>
      <w:r>
        <w:t xml:space="preserve"> </w:t>
      </w:r>
      <w:r>
        <w:t xml:space="preserve">PpuR [13,14]. Both groups also showed that synthetic AHL analogues bearing aromatic head-groups or triazole linkages function as AbaR antagonists in</w:t>
      </w:r>
      <w:r>
        <w:t xml:space="preserve"> </w:t>
      </w:r>
      <w:r>
        <w:rPr>
          <w:iCs/>
          <w:i/>
        </w:rPr>
        <w:t xml:space="preserve">A. baumannii</w:t>
      </w:r>
      <w:r>
        <w:t xml:space="preserve"> </w:t>
      </w:r>
      <w:r>
        <w:t xml:space="preserve">reporter strains, reducing motility and biofilm formation [14,15]. These observations underpin current AbaR-targeted lead chemistry, including computational lead identification efforts [16] and natural-product screens with carnosol, glabridin, eugenol, peppermint and</w:t>
      </w:r>
      <w:r>
        <w:t xml:space="preserve"> </w:t>
      </w:r>
      <w:r>
        <w:rPr>
          <w:iCs/>
          <w:i/>
        </w:rPr>
        <w:t xml:space="preserve">Salvia</w:t>
      </w:r>
      <w:r>
        <w:t xml:space="preserve"> </w:t>
      </w:r>
      <w:r>
        <w:t xml:space="preserve">essential oils, rhamnolipid, palmitoleic/myristoleic and nervonic/oleic acids [17,18,19,20,21,22,23,24,25]. AHL signalling is environmentally tunable: exposure to blue light reduces</w:t>
      </w:r>
      <w:r>
        <w:t xml:space="preserve"> </w:t>
      </w:r>
      <w:r>
        <w:rPr>
          <w:iCs/>
          <w:i/>
        </w:rPr>
        <w:t xml:space="preserve">abaI</w:t>
      </w:r>
      <w:r>
        <w:t xml:space="preserve"> </w:t>
      </w:r>
      <w:r>
        <w:t xml:space="preserve">transcription approximately 38-fold compared with darkness in ATCC 17978, and human serum albumin sequesters 3-OH-C12-HSL to suppress AHL output [26,27,28]. AHL pools can also be erased enzymatically: the lactonases MomL, AaL and AidA, and the</w:t>
      </w:r>
      <w:r>
        <w:t xml:space="preserve"> </w:t>
      </w:r>
      <w:r>
        <w:rPr>
          <w:iCs/>
          <w:i/>
        </w:rPr>
        <w:t xml:space="preserve">P. aeruginosa</w:t>
      </w:r>
      <w:r>
        <w:t xml:space="preserve"> </w:t>
      </w:r>
      <w:r>
        <w:t xml:space="preserve">acylase PvdQ, all degrade 3-OH-C12-HSL and attenuate biofilm formation in</w:t>
      </w:r>
      <w:r>
        <w:t xml:space="preserve"> </w:t>
      </w:r>
      <w:r>
        <w:rPr>
          <w:iCs/>
          <w:i/>
        </w:rPr>
        <w:t xml:space="preserve">A. baumannii</w:t>
      </w:r>
      <w:r>
        <w:t xml:space="preserve"> </w:t>
      </w:r>
      <w:r>
        <w:t xml:space="preserve">[10,29,30,31,32,33,34].</w:t>
      </w:r>
    </w:p>
    <w:bookmarkEnd w:id="50"/>
    <w:bookmarkStart w:id="51" w:name="Xfade979964bccf6acb63afac4e46ebb0615f94a"/>
    <w:p>
      <w:pPr>
        <w:pStyle w:val="Heading4"/>
      </w:pPr>
      <w:r>
        <w:t xml:space="preserve">3.3.3 Cross-regulation with two-component systems (BfmRS, AdeRS, PmrAB)</w:t>
      </w:r>
    </w:p>
    <w:p>
      <w:pPr>
        <w:pStyle w:val="FirstParagraph"/>
      </w:pPr>
      <w:r>
        <w:t xml:space="preserve">The AbaI/AbaR axis does not function in isolation: it is wired in parallel to several TCSs whose sensors detect envelope, salt, divalent-cation and antibiotic stress.</w:t>
      </w:r>
    </w:p>
    <w:p>
      <w:pPr>
        <w:pStyle w:val="BodyText"/>
      </w:pPr>
      <w:r>
        <w:t xml:space="preserve">The BfmRS TCS is the best-characterised QS partner. In ATCC 19606, BfmR/BfmS expression rises in response to exogenous C6-HSL (~1.33-fold) and tracks the up-regulation of the chaperone-usher</w:t>
      </w:r>
      <w:r>
        <w:t xml:space="preserve"> </w:t>
      </w:r>
      <w:r>
        <w:rPr>
          <w:iCs/>
          <w:i/>
        </w:rPr>
        <w:t xml:space="preserve">csuA/BABCDE</w:t>
      </w:r>
      <w:r>
        <w:t xml:space="preserve"> </w:t>
      </w:r>
      <w:r>
        <w:t xml:space="preserve">operon, suggesting that QS feeds into BfmRS-mediated pilus assembly [35]. Kim and colleagues subsequently mapped a complementary regulatory loop in which BfmRS and the AbaIR system jointly govern virulence-associated genes, with reciprocal modulation under shaking vs. static growth and AHL supplementation [36]. Loss of the (p)ppGpp-binding RNA-polymerase cofactor DksA also de-represses</w:t>
      </w:r>
      <w:r>
        <w:t xml:space="preserve"> </w:t>
      </w:r>
      <w:r>
        <w:rPr>
          <w:iCs/>
          <w:i/>
        </w:rPr>
        <w:t xml:space="preserve">bfmR/S</w:t>
      </w:r>
      <w:r>
        <w:t xml:space="preserve"> </w:t>
      </w:r>
      <w:r>
        <w:t xml:space="preserve">and</w:t>
      </w:r>
      <w:r>
        <w:t xml:space="preserve"> </w:t>
      </w:r>
      <w:r>
        <w:rPr>
          <w:iCs/>
          <w:i/>
        </w:rPr>
        <w:t xml:space="preserve">csuC/D/E</w:t>
      </w:r>
      <w:r>
        <w:t xml:space="preserve">, linking the stringent response to QS-controlled biofilm machinery [37]. Inhibition of BfmR (RstA) by</w:t>
      </w:r>
      <w:r>
        <w:t xml:space="preserve"> </w:t>
      </w:r>
      <w:r>
        <w:rPr>
          <w:iCs/>
          <w:i/>
        </w:rPr>
        <w:t xml:space="preserve">Daniellia oliveri</w:t>
      </w:r>
      <w:r>
        <w:t xml:space="preserve"> </w:t>
      </w:r>
      <w:r>
        <w:t xml:space="preserve">phytochemicals has been proposed as a QS-targeted strategy [38].</w:t>
      </w:r>
    </w:p>
    <w:p>
      <w:pPr>
        <w:pStyle w:val="BodyText"/>
      </w:pPr>
      <w:r>
        <w:t xml:space="preserve">The AdeRS TCS controls expression of the AdeABC RND efflux pump and, in turn, both influences and is influenced by QS. AdeABC-deficient strains (∆</w:t>
      </w:r>
      <w:r>
        <w:rPr>
          <w:iCs/>
          <w:i/>
        </w:rPr>
        <w:t xml:space="preserve">adeB</w:t>
      </w:r>
      <w:r>
        <w:t xml:space="preserve">) show elevated AHL output, type-VI secretion and biofilm formation, particularly in bile-salt-containing media [39]. Conversely, comparative deletion analyses of AdeABC, AdeFGH and AdeIJK in the AYE reference strain demonstrate that ∆</w:t>
      </w:r>
      <w:r>
        <w:rPr>
          <w:iCs/>
          <w:i/>
        </w:rPr>
        <w:t xml:space="preserve">adeRS</w:t>
      </w:r>
      <w:r>
        <w:t xml:space="preserve"> </w:t>
      </w:r>
      <w:r>
        <w:t xml:space="preserve">shows the strongest motility phenotype (24 mm vs. 13 mm wild-type) and that AdeFGH overexpression is coupled to AHL-stimulated biofilm formation [40,41]. The CheA/Y-like hybrid two-component regulator A1S_2811 is required for AbaIR-dependent surface motility and biofilm formation in ATCC 17978, and exogenous N-(3-oxodecanoyl)-L-HSL rescues the surface-motility defect of the ∆A1S_2811 strain, providing direct genetic evidence that AHL signalling converges on chemotaxis-type signal transduction [42]. The PmrAB system, which governs lipid-A modifications relevant to colistin resistance, is repeatedly co-listed with</w:t>
      </w:r>
      <w:r>
        <w:t xml:space="preserve"> </w:t>
      </w:r>
      <w:r>
        <w:rPr>
          <w:iCs/>
          <w:i/>
        </w:rPr>
        <w:t xml:space="preserve">abaI</w:t>
      </w:r>
      <w:r>
        <w:t xml:space="preserve">/</w:t>
      </w:r>
      <w:r>
        <w:rPr>
          <w:iCs/>
          <w:i/>
        </w:rPr>
        <w:t xml:space="preserve">abaR</w:t>
      </w:r>
      <w:r>
        <w:t xml:space="preserve"> </w:t>
      </w:r>
      <w:r>
        <w:t xml:space="preserve">in transcriptomic surveys of CRAB and colistin-treated isolates, but a mechanistic link between PmrAB and the AHL circuit has not yet been established in</w:t>
      </w:r>
      <w:r>
        <w:t xml:space="preserve"> </w:t>
      </w:r>
      <w:r>
        <w:rPr>
          <w:iCs/>
          <w:i/>
        </w:rPr>
        <w:t xml:space="preserve">A. baumannii</w:t>
      </w:r>
      <w:r>
        <w:t xml:space="preserve"> </w:t>
      </w:r>
      <w:r>
        <w:t xml:space="preserve">and remains a gap (see 3.3.7) [43,44].</w:t>
      </w:r>
    </w:p>
    <w:bookmarkEnd w:id="51"/>
    <w:bookmarkStart w:id="52" w:name="Xf104150563371398415e18a86aa2b155043c640"/>
    <w:p>
      <w:pPr>
        <w:pStyle w:val="Heading4"/>
      </w:pPr>
      <w:r>
        <w:t xml:space="preserve">3.3.4 QS-dependent regulons</w:t>
      </w:r>
    </w:p>
    <w:p>
      <w:pPr>
        <w:pStyle w:val="FirstParagraph"/>
      </w:pPr>
      <w:r>
        <w:t xml:space="preserve">Phenotypic and transcriptomic studies have defined four broad output modules of the</w:t>
      </w:r>
      <w:r>
        <w:t xml:space="preserve"> </w:t>
      </w:r>
      <w:r>
        <w:rPr>
          <w:iCs/>
          <w:i/>
        </w:rPr>
        <w:t xml:space="preserve">A. baumannii</w:t>
      </w:r>
      <w:r>
        <w:t xml:space="preserve"> </w:t>
      </w:r>
      <w:r>
        <w:t xml:space="preserve">QS network.</w:t>
      </w:r>
    </w:p>
    <w:p>
      <w:pPr>
        <w:pStyle w:val="BodyText"/>
      </w:pPr>
      <w:r>
        <w:rPr>
          <w:bCs/>
          <w:b/>
        </w:rPr>
        <w:t xml:space="preserve">Biofilm matrix (</w:t>
      </w:r>
      <w:r>
        <w:rPr>
          <w:iCs/>
          <w:i/>
          <w:bCs/>
          <w:b/>
        </w:rPr>
        <w:t xml:space="preserve">csu</w:t>
      </w:r>
      <w:r>
        <w:rPr>
          <w:bCs/>
          <w:b/>
        </w:rPr>
        <w:t xml:space="preserve">,</w:t>
      </w:r>
      <w:r>
        <w:rPr>
          <w:bCs/>
          <w:b/>
        </w:rPr>
        <w:t xml:space="preserve"> </w:t>
      </w:r>
      <w:r>
        <w:rPr>
          <w:iCs/>
          <w:i/>
          <w:bCs/>
          <w:b/>
        </w:rPr>
        <w:t xml:space="preserve">bap</w:t>
      </w:r>
      <w:r>
        <w:rPr>
          <w:bCs/>
          <w:b/>
        </w:rPr>
        <w:t xml:space="preserve">,</w:t>
      </w:r>
      <w:r>
        <w:rPr>
          <w:bCs/>
          <w:b/>
        </w:rPr>
        <w:t xml:space="preserve"> </w:t>
      </w:r>
      <w:r>
        <w:rPr>
          <w:iCs/>
          <w:i/>
          <w:bCs/>
          <w:b/>
        </w:rPr>
        <w:t xml:space="preserve">pgaABCD</w:t>
      </w:r>
      <w:r>
        <w:rPr>
          <w:bCs/>
          <w:b/>
        </w:rPr>
        <w:t xml:space="preserve">).</w:t>
      </w:r>
      <w:r>
        <w:t xml:space="preserve"> </w:t>
      </w:r>
      <w:r>
        <w:t xml:space="preserve">AHL signalling and the indole-responsive regulator AbiR converge on the chaperone-usher</w:t>
      </w:r>
      <w:r>
        <w:t xml:space="preserve"> </w:t>
      </w:r>
      <w:r>
        <w:rPr>
          <w:iCs/>
          <w:i/>
        </w:rPr>
        <w:t xml:space="preserve">csuA/BABCDE</w:t>
      </w:r>
      <w:r>
        <w:t xml:space="preserve"> </w:t>
      </w:r>
      <w:r>
        <w:t xml:space="preserve">operon, which assembles the type-I pilus required for surface attachment.</w:t>
      </w:r>
      <w:r>
        <w:t xml:space="preserve"> </w:t>
      </w:r>
      <w:r>
        <w:rPr>
          <w:iCs/>
          <w:i/>
        </w:rPr>
        <w:t xml:space="preserve">csuA/B</w:t>
      </w:r>
      <w:r>
        <w:t xml:space="preserve"> </w:t>
      </w:r>
      <w:r>
        <w:t xml:space="preserve">and</w:t>
      </w:r>
      <w:r>
        <w:t xml:space="preserve"> </w:t>
      </w:r>
      <w:r>
        <w:rPr>
          <w:iCs/>
          <w:i/>
        </w:rPr>
        <w:t xml:space="preserve">pilW</w:t>
      </w:r>
      <w:r>
        <w:t xml:space="preserve"> </w:t>
      </w:r>
      <w:r>
        <w:t xml:space="preserve">are direct AbiR targets in EMSA, and loss of AbiR reduces biofilm by ~41% [2,17,45]. The biofilm-associated protein Bap is co-listed with</w:t>
      </w:r>
      <w:r>
        <w:t xml:space="preserve"> </w:t>
      </w:r>
      <w:r>
        <w:rPr>
          <w:iCs/>
          <w:i/>
        </w:rPr>
        <w:t xml:space="preserve">abaI/abaR</w:t>
      </w:r>
      <w:r>
        <w:t xml:space="preserve"> </w:t>
      </w:r>
      <w:r>
        <w:t xml:space="preserve">in virulence-gene panels of clinical isolates and is up-regulated in biofilm-state transcriptomes [46,47,48,49]. The poly-β-1,6-N-acetyl-glucosamine (PNAG) synthesis locus</w:t>
      </w:r>
      <w:r>
        <w:t xml:space="preserve"> </w:t>
      </w:r>
      <w:r>
        <w:rPr>
          <w:iCs/>
          <w:i/>
        </w:rPr>
        <w:t xml:space="preserve">pgaABCD</w:t>
      </w:r>
      <w:r>
        <w:t xml:space="preserve"> </w:t>
      </w:r>
      <w:r>
        <w:t xml:space="preserve">tracks</w:t>
      </w:r>
      <w:r>
        <w:t xml:space="preserve"> </w:t>
      </w:r>
      <w:r>
        <w:rPr>
          <w:iCs/>
          <w:i/>
        </w:rPr>
        <w:t xml:space="preserve">abaI</w:t>
      </w:r>
      <w:r>
        <w:t xml:space="preserve"> </w:t>
      </w:r>
      <w:r>
        <w:t xml:space="preserve">in burn-wound isolates (real-time PCR copy numbers of</w:t>
      </w:r>
      <w:r>
        <w:t xml:space="preserve"> </w:t>
      </w:r>
      <w:r>
        <w:rPr>
          <w:iCs/>
          <w:i/>
        </w:rPr>
        <w:t xml:space="preserve">pgaD</w:t>
      </w:r>
      <w:r>
        <w:t xml:space="preserve"> </w:t>
      </w:r>
      <w:r>
        <w:t xml:space="preserve">and</w:t>
      </w:r>
      <w:r>
        <w:t xml:space="preserve"> </w:t>
      </w:r>
      <w:r>
        <w:rPr>
          <w:iCs/>
          <w:i/>
        </w:rPr>
        <w:t xml:space="preserve">abaI</w:t>
      </w:r>
      <w:r>
        <w:t xml:space="preserve"> </w:t>
      </w:r>
      <w:r>
        <w:t xml:space="preserve">rise in tandem during biofilm maturation) [2,50].</w:t>
      </w:r>
    </w:p>
    <w:p>
      <w:pPr>
        <w:pStyle w:val="BodyText"/>
      </w:pPr>
      <w:r>
        <w:rPr>
          <w:bCs/>
          <w:b/>
        </w:rPr>
        <w:t xml:space="preserve">Efflux pumps (</w:t>
      </w:r>
      <w:r>
        <w:rPr>
          <w:iCs/>
          <w:i/>
          <w:bCs/>
          <w:b/>
        </w:rPr>
        <w:t xml:space="preserve">adeABC</w:t>
      </w:r>
      <w:r>
        <w:rPr>
          <w:bCs/>
          <w:b/>
        </w:rPr>
        <w:t xml:space="preserve">,</w:t>
      </w:r>
      <w:r>
        <w:rPr>
          <w:bCs/>
          <w:b/>
        </w:rPr>
        <w:t xml:space="preserve"> </w:t>
      </w:r>
      <w:r>
        <w:rPr>
          <w:iCs/>
          <w:i/>
          <w:bCs/>
          <w:b/>
        </w:rPr>
        <w:t xml:space="preserve">adeFGH</w:t>
      </w:r>
      <w:r>
        <w:rPr>
          <w:bCs/>
          <w:b/>
        </w:rPr>
        <w:t xml:space="preserve">,</w:t>
      </w:r>
      <w:r>
        <w:rPr>
          <w:bCs/>
          <w:b/>
        </w:rPr>
        <w:t xml:space="preserve"> </w:t>
      </w:r>
      <w:r>
        <w:rPr>
          <w:iCs/>
          <w:i/>
          <w:bCs/>
          <w:b/>
        </w:rPr>
        <w:t xml:space="preserve">adeIJK</w:t>
      </w:r>
      <w:r>
        <w:rPr>
          <w:bCs/>
          <w:b/>
        </w:rPr>
        <w:t xml:space="preserve">).</w:t>
      </w:r>
      <w:r>
        <w:t xml:space="preserve"> </w:t>
      </w:r>
      <w:r>
        <w:t xml:space="preserve">AdeFGH over-expression accompanies AHL-driven biofilm induction under sub-MIC levofloxacin or meropenem, linking QS to phenotypic antibiotic tolerance [40,41]. AdeABC and AdeIJK contribute to motility and biofilm-state susceptibility shifts; ∆</w:t>
      </w:r>
      <w:r>
        <w:rPr>
          <w:iCs/>
          <w:i/>
        </w:rPr>
        <w:t xml:space="preserve">adeB</w:t>
      </w:r>
      <w:r>
        <w:t xml:space="preserve"> </w:t>
      </w:r>
      <w:r>
        <w:t xml:space="preserve">mutants display ~41% reduction in biofilm formation and elevated AHL output, indicating bidirectional cross-talk [39,40].</w:t>
      </w:r>
    </w:p>
    <w:p>
      <w:pPr>
        <w:pStyle w:val="BodyText"/>
      </w:pPr>
      <w:r>
        <w:rPr>
          <w:bCs/>
          <w:b/>
        </w:rPr>
        <w:t xml:space="preserve">Outer-membrane protein A (</w:t>
      </w:r>
      <w:r>
        <w:rPr>
          <w:iCs/>
          <w:i/>
          <w:bCs/>
          <w:b/>
        </w:rPr>
        <w:t xml:space="preserve">ompA</w:t>
      </w:r>
      <w:r>
        <w:rPr>
          <w:bCs/>
          <w:b/>
        </w:rPr>
        <w:t xml:space="preserve">).</w:t>
      </w:r>
      <w:r>
        <w:t xml:space="preserve"> </w:t>
      </w:r>
      <w:r>
        <w:t xml:space="preserve">OmpA, which trafficks via outer-membrane vesicles (OMVs) to deliver virulence factors into host cells and facilitates inter-bacterial AHL exchange, is included in the QS-regulated regulon of</w:t>
      </w:r>
      <w:r>
        <w:t xml:space="preserve"> </w:t>
      </w:r>
      <w:r>
        <w:rPr>
          <w:iCs/>
          <w:i/>
        </w:rPr>
        <w:t xml:space="preserve">A. baumannii</w:t>
      </w:r>
      <w:r>
        <w:t xml:space="preserve">, with reduced</w:t>
      </w:r>
      <w:r>
        <w:t xml:space="preserve"> </w:t>
      </w:r>
      <w:r>
        <w:rPr>
          <w:iCs/>
          <w:i/>
        </w:rPr>
        <w:t xml:space="preserve">ompA</w:t>
      </w:r>
      <w:r>
        <w:t xml:space="preserve"> </w:t>
      </w:r>
      <w:r>
        <w:t xml:space="preserve">expression in</w:t>
      </w:r>
      <w:r>
        <w:t xml:space="preserve"> </w:t>
      </w:r>
      <w:r>
        <w:rPr>
          <w:iCs/>
          <w:i/>
        </w:rPr>
        <w:t xml:space="preserve">abaI</w:t>
      </w:r>
      <w:r>
        <w:t xml:space="preserve">-disrupted backgrounds and in QSI-treated cultures [2,48,51,52].</w:t>
      </w:r>
    </w:p>
    <w:p>
      <w:pPr>
        <w:pStyle w:val="BodyText"/>
      </w:pPr>
      <w:r>
        <w:rPr>
          <w:bCs/>
          <w:b/>
        </w:rPr>
        <w:t xml:space="preserve">Iron acquisition (acinetobactin).</w:t>
      </w:r>
      <w:r>
        <w:t xml:space="preserve"> </w:t>
      </w:r>
      <w:r>
        <w:t xml:space="preserve">The acinetobactin biosynthesis and uptake loci, together with the BauA receptor and TonB-dependent transport apparatus, are co-regulated with QS genes in transcriptomic and adaptive-evolution datasets [48,53,54,55]. Pimentel et al. showed that human pleural fluid and HSA exposure simultaneously down-regulate</w:t>
      </w:r>
      <w:r>
        <w:t xml:space="preserve"> </w:t>
      </w:r>
      <w:r>
        <w:rPr>
          <w:iCs/>
          <w:i/>
        </w:rPr>
        <w:t xml:space="preserve">abaI</w:t>
      </w:r>
      <w:r>
        <w:t xml:space="preserve">,</w:t>
      </w:r>
      <w:r>
        <w:t xml:space="preserve"> </w:t>
      </w:r>
      <w:r>
        <w:rPr>
          <w:iCs/>
          <w:i/>
        </w:rPr>
        <w:t xml:space="preserve">abaR</w:t>
      </w:r>
      <w:r>
        <w:t xml:space="preserve"> </w:t>
      </w:r>
      <w:r>
        <w:t xml:space="preserve">and iron-uptake genes, implying convergent host-factor sensing [27,28]. Conversely, the AbaR regulon includes loci encoding capsule and siderophore biosynthesis [4,6,8].</w:t>
      </w:r>
    </w:p>
    <w:bookmarkEnd w:id="52"/>
    <w:bookmarkStart w:id="53" w:name="X6de497df6e64c9fb315a659b145034f4963b9ed"/>
    <w:p>
      <w:pPr>
        <w:pStyle w:val="Heading4"/>
      </w:pPr>
      <w:r>
        <w:t xml:space="preserve">3.3.5 Nucleotide second messengers (c-di-GMP, ppGpp, 3′,5′-cAMP) as QS modulators</w:t>
      </w:r>
    </w:p>
    <w:p>
      <w:pPr>
        <w:pStyle w:val="FirstParagraph"/>
      </w:pPr>
      <w:r>
        <w:t xml:space="preserve">Three intracellular nucleotide second messengers feed into the QS network. The</w:t>
      </w:r>
      <w:r>
        <w:t xml:space="preserve"> </w:t>
      </w:r>
      <w:r>
        <w:rPr>
          <w:iCs/>
          <w:i/>
        </w:rPr>
        <w:t xml:space="preserve">A. baumannii</w:t>
      </w:r>
      <w:r>
        <w:t xml:space="preserve"> </w:t>
      </w:r>
      <w:r>
        <w:t xml:space="preserve">ATCC 17978 genome encodes 12 candidate GGDEF/EAL domain proteins that synthesise or degrade c-di-GMP; A1S_1695, A1S_2506 and A1S_3692 act as diguanylate cyclases, and A1S_1254 is a phosphodiesterase, with deletions altering biofilm, motility and virulence [Cui 2025_2]. The c-di-GMP effector EF-P (A1S_2419) couples the messenger to translational rescue of proline-rich proteins, providing a unique mode of QS-relevant output [Cui 2025_2]. (p)ppGpp synthesised by the RelA homologue ABUW_3302 (RelAAb) modulates antibiotic susceptibility, biofilm formation and virulence; importantly, RelAAb represses ABUW_1132, which itself activates</w:t>
      </w:r>
      <w:r>
        <w:t xml:space="preserve"> </w:t>
      </w:r>
      <w:r>
        <w:rPr>
          <w:iCs/>
          <w:i/>
        </w:rPr>
        <w:t xml:space="preserve">abaIR</w:t>
      </w:r>
      <w:r>
        <w:t xml:space="preserve"> </w:t>
      </w:r>
      <w:r>
        <w:t xml:space="preserve">— placing the stringent response upstream of the AHL circuit [2,8,56]. The adenylate cyclase CavA produces 3′,5′-cAMP, which binds the Vfr-like receptor VfrAb; remarkably, in</w:t>
      </w:r>
      <w:r>
        <w:t xml:space="preserve"> </w:t>
      </w:r>
      <w:r>
        <w:rPr>
          <w:iCs/>
          <w:i/>
        </w:rPr>
        <w:t xml:space="preserve">A. baumannii</w:t>
      </w:r>
      <w:r>
        <w:t xml:space="preserve"> </w:t>
      </w:r>
      <w:r>
        <w:t xml:space="preserve">AB5075 cAMP positively (not inversely) regulates c-di-GMP and represses</w:t>
      </w:r>
      <w:r>
        <w:t xml:space="preserve"> </w:t>
      </w:r>
      <w:r>
        <w:rPr>
          <w:iCs/>
          <w:i/>
        </w:rPr>
        <w:t xml:space="preserve">abaI</w:t>
      </w:r>
      <w:r>
        <w:t xml:space="preserve"> </w:t>
      </w:r>
      <w:r>
        <w:t xml:space="preserve">transcription, placing 3′,5′-cAMP at the apex of a hierarchical cascade [2,57].</w:t>
      </w:r>
    </w:p>
    <w:p>
      <w:pPr>
        <w:pStyle w:val="BodyText"/>
      </w:pPr>
      <w:r>
        <w:rPr>
          <w:iCs/>
          <w:i/>
        </w:rPr>
        <w:t xml:space="preserve">Mechanistic schema (Figure 3B, suggested):</w:t>
      </w:r>
      <w:r>
        <w:t xml:space="preserve"> </w:t>
      </w:r>
      <w:r>
        <w:t xml:space="preserve">Environmental cue (nutrient or stress) → CavA produces 3′,5′-cAMP → VfrAb represses</w:t>
      </w:r>
      <w:r>
        <w:t xml:space="preserve"> </w:t>
      </w:r>
      <w:r>
        <w:rPr>
          <w:iCs/>
          <w:i/>
        </w:rPr>
        <w:t xml:space="preserve">abaI</w:t>
      </w:r>
      <w:r>
        <w:t xml:space="preserve"> </w:t>
      </w:r>
      <w:r>
        <w:t xml:space="preserve">while activating diguanylate cyclases → c-di-GMP rises → EF-P enhances translation of Pro-rich biofilm proteins; in parallel, nutrient starvation → RelAAb produces (p)ppGpp → represses ABUW_1132 → reduces</w:t>
      </w:r>
      <w:r>
        <w:t xml:space="preserve"> </w:t>
      </w:r>
      <w:r>
        <w:rPr>
          <w:iCs/>
          <w:i/>
        </w:rPr>
        <w:t xml:space="preserve">abaIR</w:t>
      </w:r>
      <w:r>
        <w:t xml:space="preserve"> </w:t>
      </w:r>
      <w:r>
        <w:t xml:space="preserve">transcription → biofilm/motility switch. Output: integration of cell density (AHL), intracellular energy state ((p)ppGpp), and carbon/host cue (cAMP) at a single transcriptional decision point.</w:t>
      </w:r>
    </w:p>
    <w:bookmarkEnd w:id="53"/>
    <w:bookmarkStart w:id="54" w:name="Xb43cea7deeb1a0266ce2370c9ae259a00367ad7"/>
    <w:p>
      <w:pPr>
        <w:pStyle w:val="Heading4"/>
      </w:pPr>
      <w:r>
        <w:t xml:space="preserve">3.3.6 Polymicrobial signal cross-talk</w:t>
      </w:r>
    </w:p>
    <w:p>
      <w:pPr>
        <w:pStyle w:val="FirstParagraph"/>
      </w:pPr>
      <w:r>
        <w:rPr>
          <w:iCs/>
          <w:i/>
        </w:rPr>
        <w:t xml:space="preserve">A. baumannii</w:t>
      </w:r>
      <w:r>
        <w:t xml:space="preserve"> </w:t>
      </w:r>
      <w:r>
        <w:t xml:space="preserve">shares niches (lung, wound, catheter biofilms) with</w:t>
      </w:r>
      <w:r>
        <w:t xml:space="preserve"> </w:t>
      </w:r>
      <w:r>
        <w:rPr>
          <w:iCs/>
          <w:i/>
        </w:rPr>
        <w:t xml:space="preserve">P. aeruginosa</w:t>
      </w:r>
      <w:r>
        <w:t xml:space="preserve">,</w:t>
      </w:r>
      <w:r>
        <w:t xml:space="preserve"> </w:t>
      </w:r>
      <w:r>
        <w:rPr>
          <w:iCs/>
          <w:i/>
        </w:rPr>
        <w:t xml:space="preserve">S. aureus</w:t>
      </w:r>
      <w:r>
        <w:t xml:space="preserve"> </w:t>
      </w:r>
      <w:r>
        <w:t xml:space="preserve">and</w:t>
      </w:r>
      <w:r>
        <w:t xml:space="preserve"> </w:t>
      </w:r>
      <w:r>
        <w:rPr>
          <w:iCs/>
          <w:i/>
        </w:rPr>
        <w:t xml:space="preserve">Candida</w:t>
      </w:r>
      <w:r>
        <w:t xml:space="preserve"> </w:t>
      </w:r>
      <w:r>
        <w:t xml:space="preserve">spp., and inter-species QS cross-talk is increasingly recognised. Bhargava and colleagues showed that the</w:t>
      </w:r>
      <w:r>
        <w:t xml:space="preserve"> </w:t>
      </w:r>
      <w:r>
        <w:rPr>
          <w:iCs/>
          <w:i/>
        </w:rPr>
        <w:t xml:space="preserve">P. aeruginosa</w:t>
      </w:r>
      <w:r>
        <w:t xml:space="preserve"> </w:t>
      </w:r>
      <w:r>
        <w:t xml:space="preserve">LasI/RhlI signals 3-oxo-C12-HSL and C4-HSL activate the</w:t>
      </w:r>
      <w:r>
        <w:t xml:space="preserve"> </w:t>
      </w:r>
      <w:r>
        <w:rPr>
          <w:iCs/>
          <w:i/>
        </w:rPr>
        <w:t xml:space="preserve">lasI</w:t>
      </w:r>
      <w:r>
        <w:t xml:space="preserve"> </w:t>
      </w:r>
      <w:r>
        <w:t xml:space="preserve">and</w:t>
      </w:r>
      <w:r>
        <w:t xml:space="preserve"> </w:t>
      </w:r>
      <w:r>
        <w:rPr>
          <w:iCs/>
          <w:i/>
        </w:rPr>
        <w:t xml:space="preserve">rhlI</w:t>
      </w:r>
      <w:r>
        <w:t xml:space="preserve"> </w:t>
      </w:r>
      <w:r>
        <w:t xml:space="preserve">promoters and modulate</w:t>
      </w:r>
      <w:r>
        <w:t xml:space="preserve"> </w:t>
      </w:r>
      <w:r>
        <w:rPr>
          <w:iCs/>
          <w:i/>
        </w:rPr>
        <w:t xml:space="preserve">A. baumannii</w:t>
      </w:r>
      <w:r>
        <w:t xml:space="preserve"> </w:t>
      </w:r>
      <w:r>
        <w:t xml:space="preserve">biofilm in mixed cultures, with reciprocal effects on AHL output [58].</w:t>
      </w:r>
      <w:r>
        <w:t xml:space="preserve"> </w:t>
      </w:r>
      <w:r>
        <w:rPr>
          <w:iCs/>
          <w:i/>
        </w:rPr>
        <w:t xml:space="preserve">P. aeruginosa</w:t>
      </w:r>
      <w:r>
        <w:t xml:space="preserve"> </w:t>
      </w:r>
      <w:r>
        <w:t xml:space="preserve">exerts a competitive inhibition on</w:t>
      </w:r>
      <w:r>
        <w:t xml:space="preserve"> </w:t>
      </w:r>
      <w:r>
        <w:rPr>
          <w:iCs/>
          <w:i/>
        </w:rPr>
        <w:t xml:space="preserve">A. baumannii</w:t>
      </w:r>
      <w:r>
        <w:t xml:space="preserve"> </w:t>
      </w:r>
      <w:r>
        <w:t xml:space="preserve">in co-culture; carbon/QS-based interactions and MvfR (PqsR)-dependent signalling are central, and pharmacological MvfR inhibition partially restores</w:t>
      </w:r>
      <w:r>
        <w:t xml:space="preserve"> </w:t>
      </w:r>
      <w:r>
        <w:rPr>
          <w:iCs/>
          <w:i/>
        </w:rPr>
        <w:t xml:space="preserve">A. baumannii</w:t>
      </w:r>
      <w:r>
        <w:t xml:space="preserve"> </w:t>
      </w:r>
      <w:r>
        <w:t xml:space="preserve">survival in co-culture without changing</w:t>
      </w:r>
      <w:r>
        <w:t xml:space="preserve"> </w:t>
      </w:r>
      <w:r>
        <w:rPr>
          <w:iCs/>
          <w:i/>
        </w:rPr>
        <w:t xml:space="preserve">P. aeruginosa</w:t>
      </w:r>
      <w:r>
        <w:t xml:space="preserve"> </w:t>
      </w:r>
      <w:r>
        <w:t xml:space="preserve">abundance [59,60,61]. Conversely, indole produced by</w:t>
      </w:r>
      <w:r>
        <w:t xml:space="preserve"> </w:t>
      </w:r>
      <w:r>
        <w:rPr>
          <w:iCs/>
          <w:i/>
        </w:rPr>
        <w:t xml:space="preserve">A. baumannii</w:t>
      </w:r>
      <w:r>
        <w:t xml:space="preserve"> </w:t>
      </w:r>
      <w:r>
        <w:t xml:space="preserve">AbiS reduces competitive fitness of</w:t>
      </w:r>
      <w:r>
        <w:t xml:space="preserve"> </w:t>
      </w:r>
      <w:r>
        <w:rPr>
          <w:iCs/>
          <w:i/>
        </w:rPr>
        <w:t xml:space="preserve">P. aeruginosa</w:t>
      </w:r>
      <w:r>
        <w:t xml:space="preserve"> </w:t>
      </w:r>
      <w:r>
        <w:t xml:space="preserve">by repressing its QS systems and T3SS, defining a bidirectional signalling axis [2,45,61,62]. Indole derivatives (e.g. 7-hydroxyindole) reduce</w:t>
      </w:r>
      <w:r>
        <w:t xml:space="preserve"> </w:t>
      </w:r>
      <w:r>
        <w:rPr>
          <w:iCs/>
          <w:i/>
        </w:rPr>
        <w:t xml:space="preserve">abaI</w:t>
      </w:r>
      <w:r>
        <w:t xml:space="preserve">/</w:t>
      </w:r>
      <w:r>
        <w:rPr>
          <w:iCs/>
          <w:i/>
        </w:rPr>
        <w:t xml:space="preserve">abaR</w:t>
      </w:r>
      <w:r>
        <w:t xml:space="preserve"> </w:t>
      </w:r>
      <w:r>
        <w:t xml:space="preserve">expression and inhibit XDR-AB biofilm, while carnosol disrupts AbiR–promoter binding with a KD of 0.3 μM and reduces biofilm, motility and cytotoxicity by 25–85% in ATCC 17978 [17,62]. Cross-kingdom interactions with</w:t>
      </w:r>
      <w:r>
        <w:t xml:space="preserve"> </w:t>
      </w:r>
      <w:r>
        <w:rPr>
          <w:iCs/>
          <w:i/>
        </w:rPr>
        <w:t xml:space="preserve">Candida albicans</w:t>
      </w:r>
      <w:r>
        <w:t xml:space="preserve"> </w:t>
      </w:r>
      <w:r>
        <w:t xml:space="preserve">in airway models facilitate</w:t>
      </w:r>
      <w:r>
        <w:t xml:space="preserve"> </w:t>
      </w:r>
      <w:r>
        <w:rPr>
          <w:iCs/>
          <w:i/>
        </w:rPr>
        <w:t xml:space="preserve">A. baumannii</w:t>
      </w:r>
      <w:r>
        <w:t xml:space="preserve"> </w:t>
      </w:r>
      <w:r>
        <w:t xml:space="preserve">pneumonia, plausibly via farnesol/AHL cross-talk, although the molecular interface remains uncharacterised [63,64]. Finally, AHL-mediated quorum quenching by environmental and engineered lactonases (MomL, AaL, AidA, PvdQ) reduces inter-species and intra-species signalling in mixed-species biofilms relevant to chronic-wound and ventilator-associated infections [10,29,30,31,32,33,34].</w:t>
      </w:r>
    </w:p>
    <w:bookmarkEnd w:id="54"/>
    <w:bookmarkStart w:id="55" w:name="Xce55c78e36b6852f10b46f1522c35f96876042b"/>
    <w:p>
      <w:pPr>
        <w:pStyle w:val="Heading4"/>
      </w:pPr>
      <w:r>
        <w:t xml:space="preserve">3.3.7 Open mechanistic questions and unmapped regulons</w:t>
      </w:r>
    </w:p>
    <w:p>
      <w:pPr>
        <w:pStyle w:val="FirstParagraph"/>
      </w:pPr>
      <w:r>
        <w:t xml:space="preserve">Despite intense activity over the past decade, several key questions remain unresolved.</w:t>
      </w:r>
    </w:p>
    <w:p>
      <w:pPr>
        <w:pStyle w:val="BodyText"/>
      </w:pPr>
      <w:r>
        <w:rPr>
          <w:iCs/>
          <w:i/>
        </w:rPr>
        <w:t xml:space="preserve">First</w:t>
      </w:r>
      <w:r>
        <w:t xml:space="preserve">, whether the indole QS system (AbiS synthase / AbiR receptor) operates universally across the species is unclear — most mechanistic work is in ATCC 17978, and the prevalence of functional</w:t>
      </w:r>
      <w:r>
        <w:t xml:space="preserve"> </w:t>
      </w:r>
      <w:r>
        <w:rPr>
          <w:iCs/>
          <w:i/>
        </w:rPr>
        <w:t xml:space="preserve">abiS</w:t>
      </w:r>
      <w:r>
        <w:t xml:space="preserve">/</w:t>
      </w:r>
      <w:r>
        <w:rPr>
          <w:iCs/>
          <w:i/>
        </w:rPr>
        <w:t xml:space="preserve">abiR</w:t>
      </w:r>
      <w:r>
        <w:t xml:space="preserve"> </w:t>
      </w:r>
      <w:r>
        <w:t xml:space="preserve">alleles in global IC1/IC2 clones has not been systematically catalogued [2,17,45,65].</w:t>
      </w:r>
      <w:r>
        <w:t xml:space="preserve"> </w:t>
      </w:r>
      <w:r>
        <w:rPr>
          <w:iCs/>
          <w:i/>
        </w:rPr>
        <w:t xml:space="preserve">Second</w:t>
      </w:r>
      <w:r>
        <w:t xml:space="preserve">, no additional QS signals — equivalents of AI-2, DSF, PQS or anthranilic acid — have yet been firmly established in</w:t>
      </w:r>
      <w:r>
        <w:t xml:space="preserve"> </w:t>
      </w:r>
      <w:r>
        <w:rPr>
          <w:iCs/>
          <w:i/>
        </w:rPr>
        <w:t xml:space="preserve">A. baumannii</w:t>
      </w:r>
      <w:r>
        <w:t xml:space="preserve">, and whether the species senses heterologous signals via orphan LuxR solos is unknown [Cui 2025_2].</w:t>
      </w:r>
      <w:r>
        <w:t xml:space="preserve"> </w:t>
      </w:r>
      <w:r>
        <w:rPr>
          <w:iCs/>
          <w:i/>
        </w:rPr>
        <w:t xml:space="preserve">Third</w:t>
      </w:r>
      <w:r>
        <w:t xml:space="preserve">, c-di-GMP effectors beyond EF-P remain unidentified; the molecular link between c-di-GMP and AbaR-target promoters has not been demonstrated structurally [Cui 2025_2].</w:t>
      </w:r>
      <w:r>
        <w:t xml:space="preserve"> </w:t>
      </w:r>
      <w:r>
        <w:rPr>
          <w:iCs/>
          <w:i/>
        </w:rPr>
        <w:t xml:space="preserve">Fourth</w:t>
      </w:r>
      <w:r>
        <w:t xml:space="preserve">, the PmrAB–QS interface, well described in</w:t>
      </w:r>
      <w:r>
        <w:t xml:space="preserve"> </w:t>
      </w:r>
      <w:r>
        <w:rPr>
          <w:iCs/>
          <w:i/>
        </w:rPr>
        <w:t xml:space="preserve">Salmonella</w:t>
      </w:r>
      <w:r>
        <w:t xml:space="preserve"> </w:t>
      </w:r>
      <w:r>
        <w:t xml:space="preserve">and</w:t>
      </w:r>
      <w:r>
        <w:t xml:space="preserve"> </w:t>
      </w:r>
      <w:r>
        <w:rPr>
          <w:iCs/>
          <w:i/>
        </w:rPr>
        <w:t xml:space="preserve">P. aeruginosa</w:t>
      </w:r>
      <w:r>
        <w:t xml:space="preserve"> </w:t>
      </w:r>
      <w:r>
        <w:t xml:space="preserve">for lipid-A modification and polymyxin resistance, has not been characterised in</w:t>
      </w:r>
      <w:r>
        <w:t xml:space="preserve"> </w:t>
      </w:r>
      <w:r>
        <w:rPr>
          <w:iCs/>
          <w:i/>
        </w:rPr>
        <w:t xml:space="preserve">A. baumannii</w:t>
      </w:r>
      <w:r>
        <w:t xml:space="preserve">; the same applies to the relationship between QS and the σ-factor RpoN, which is known in</w:t>
      </w:r>
      <w:r>
        <w:t xml:space="preserve"> </w:t>
      </w:r>
      <w:r>
        <w:rPr>
          <w:iCs/>
          <w:i/>
        </w:rPr>
        <w:t xml:space="preserve">P. aeruginosa</w:t>
      </w:r>
      <w:r>
        <w:t xml:space="preserve"> </w:t>
      </w:r>
      <w:r>
        <w:t xml:space="preserve">to gate biofilm and motility through</w:t>
      </w:r>
      <w:r>
        <w:t xml:space="preserve"> </w:t>
      </w:r>
      <w:r>
        <w:rPr>
          <w:iCs/>
          <w:i/>
        </w:rPr>
        <w:t xml:space="preserve">fleQ</w:t>
      </w:r>
      <w:r>
        <w:t xml:space="preserve"> </w:t>
      </w:r>
      <w:r>
        <w:t xml:space="preserve">and</w:t>
      </w:r>
      <w:r>
        <w:t xml:space="preserve"> </w:t>
      </w:r>
      <w:r>
        <w:rPr>
          <w:iCs/>
          <w:i/>
        </w:rPr>
        <w:t xml:space="preserve">rhlR</w:t>
      </w:r>
      <w:r>
        <w:t xml:space="preserve"> </w:t>
      </w:r>
      <w:r>
        <w:t xml:space="preserve">but has no published</w:t>
      </w:r>
      <w:r>
        <w:t xml:space="preserve"> </w:t>
      </w:r>
      <w:r>
        <w:rPr>
          <w:iCs/>
          <w:i/>
        </w:rPr>
        <w:t xml:space="preserve">A. baumannii</w:t>
      </w:r>
      <w:r>
        <w:t xml:space="preserve"> </w:t>
      </w:r>
      <w:r>
        <w:t xml:space="preserve">equivalent in the corpus reviewed here.</w:t>
      </w:r>
      <w:r>
        <w:t xml:space="preserve"> </w:t>
      </w:r>
      <w:r>
        <w:rPr>
          <w:iCs/>
          <w:i/>
        </w:rPr>
        <w:t xml:space="preserve">Fifth</w:t>
      </w:r>
      <w:r>
        <w:t xml:space="preserve">, while LasI/RhlI/PqsR–AbaR cross-talk is documented in vitro, the in vivo significance of polymicrobial AHL/AQ exchange in human infection — including the relative contributions of AHL-degrading host enzymes (paraoxonases) and exogenous QQ — remains an inferential rather than directly demonstrated component of the network [32,59,60].</w:t>
      </w:r>
      <w:r>
        <w:t xml:space="preserve"> </w:t>
      </w:r>
      <w:r>
        <w:rPr>
          <w:iCs/>
          <w:i/>
        </w:rPr>
        <w:t xml:space="preserve">Sixth</w:t>
      </w:r>
      <w:r>
        <w:t xml:space="preserve">, although abaR-binding consensus motifs are emerging from transcriptomic and ChIP-style work, a genome-wide AbaR binding map analogous to LasR ChIP-seq datasets in</w:t>
      </w:r>
      <w:r>
        <w:t xml:space="preserve"> </w:t>
      </w:r>
      <w:r>
        <w:rPr>
          <w:iCs/>
          <w:i/>
        </w:rPr>
        <w:t xml:space="preserve">P. aeruginosa</w:t>
      </w:r>
      <w:r>
        <w:t xml:space="preserve"> </w:t>
      </w:r>
      <w:r>
        <w:t xml:space="preserve">has not been published for</w:t>
      </w:r>
      <w:r>
        <w:t xml:space="preserve"> </w:t>
      </w:r>
      <w:r>
        <w:rPr>
          <w:iCs/>
          <w:i/>
        </w:rPr>
        <w:t xml:space="preserve">A. baumannii</w:t>
      </w:r>
      <w:r>
        <w:t xml:space="preserve"> </w:t>
      </w:r>
      <w:r>
        <w:t xml:space="preserve">[2,6].</w:t>
      </w:r>
      <w:r>
        <w:t xml:space="preserve"> </w:t>
      </w:r>
      <w:r>
        <w:rPr>
          <w:iCs/>
          <w:i/>
        </w:rPr>
        <w:t xml:space="preserve">Seventh</w:t>
      </w:r>
      <w:r>
        <w:t xml:space="preserve">, the role of small regulatory RNAs and nucleoid-associated proteins (AtfA, H-NS) as bridges between QS and antibiotic-resistance regulons is suggested but mechanistically thin [66,67]. Addressing these gaps — through cross-clonal mutant libraries, structural AbaR studies, in vivo signal profiling (extending [12]) and systems-level chemical-biology approaches — should be a priority for the next wave of QS-targeted antivirulence development against carbapenem-resistant</w:t>
      </w:r>
      <w:r>
        <w:t xml:space="preserve"> </w:t>
      </w:r>
      <w:r>
        <w:rPr>
          <w:iCs/>
          <w:i/>
        </w:rPr>
        <w:t xml:space="preserve">A. baumannii</w:t>
      </w:r>
      <w:r>
        <w:t xml:space="preserve">.</w:t>
      </w:r>
    </w:p>
    <w:bookmarkEnd w:id="55"/>
    <w:bookmarkEnd w:id="56"/>
    <w:bookmarkStart w:id="57" w:name="X9b8cf0a15d9cf521f015949246d431900f121a9"/>
    <w:p>
      <w:pPr>
        <w:pStyle w:val="Heading3"/>
      </w:pPr>
      <w:r>
        <w:t xml:space="preserve">Table 3 — A. baumannii Quorum-Sensing Molecular Network: Key Targets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Gene/Protein</w:t>
            </w:r>
          </w:p>
        </w:tc>
        <w:tc>
          <w:tcPr/>
          <w:p>
            <w:pPr>
              <w:pStyle w:val="Compact"/>
              <w:jc w:val="left"/>
            </w:pPr>
            <w:r>
              <w:t xml:space="preserve">Class</w:t>
            </w:r>
          </w:p>
        </w:tc>
        <w:tc>
          <w:tcPr/>
          <w:p>
            <w:pPr>
              <w:pStyle w:val="Compact"/>
              <w:jc w:val="left"/>
            </w:pPr>
            <w:r>
              <w:t xml:space="preserve">Function</w:t>
            </w:r>
          </w:p>
        </w:tc>
        <w:tc>
          <w:tcPr/>
          <w:p>
            <w:pPr>
              <w:pStyle w:val="Compact"/>
              <w:jc w:val="right"/>
            </w:pPr>
            <w:r>
              <w:t xml:space="preserve">Mentions in priority corpus (n)</w:t>
            </w:r>
          </w:p>
        </w:tc>
        <w:tc>
          <w:tcPr/>
          <w:p>
            <w:pPr>
              <w:pStyle w:val="Compact"/>
              <w:jc w:val="left"/>
            </w:pPr>
            <w:r>
              <w:t xml:space="preserve">Druggability evidence</w:t>
            </w:r>
          </w:p>
        </w:tc>
      </w:tr>
      <w:tr>
        <w:tc>
          <w:tcPr/>
          <w:p>
            <w:pPr>
              <w:pStyle w:val="Compact"/>
              <w:jc w:val="left"/>
            </w:pPr>
            <w:r>
              <w:rPr>
                <w:bCs/>
                <w:b/>
              </w:rPr>
              <w:t xml:space="preserve">abai</w:t>
            </w:r>
          </w:p>
        </w:tc>
        <w:tc>
          <w:tcPr/>
          <w:p>
            <w:pPr>
              <w:pStyle w:val="Compact"/>
              <w:jc w:val="left"/>
            </w:pPr>
            <w:r>
              <w:t xml:space="preserve">LuxI-type AHL synthase</w:t>
            </w:r>
          </w:p>
        </w:tc>
        <w:tc>
          <w:tcPr/>
          <w:p>
            <w:pPr>
              <w:pStyle w:val="Compact"/>
              <w:jc w:val="left"/>
            </w:pPr>
            <w:r>
              <w:t xml:space="preserve">Synthesises</w:t>
            </w:r>
            <w:r>
              <w:t xml:space="preserve"> </w:t>
            </w:r>
            <w:r>
              <w:rPr>
                <w:iCs/>
                <w:i/>
              </w:rPr>
              <w:t xml:space="preserve">N</w:t>
            </w:r>
            <w:r>
              <w:t xml:space="preserve">-(3-hydroxydodecanoyl)-L-homoserine lactone (3-OH-C12-HSL)</w:t>
            </w:r>
          </w:p>
        </w:tc>
        <w:tc>
          <w:tcPr/>
          <w:p>
            <w:pPr>
              <w:pStyle w:val="Compact"/>
              <w:jc w:val="right"/>
            </w:pPr>
            <w:r>
              <w:t xml:space="preserve">96</w:t>
            </w:r>
          </w:p>
        </w:tc>
        <w:tc>
          <w:tcPr/>
          <w:p>
            <w:pPr>
              <w:pStyle w:val="Compact"/>
              <w:jc w:val="left"/>
            </w:pPr>
            <w:r>
              <w:t xml:space="preserve">Genetic knock-out impairs biofilm; small-molecule inhibitors tested</w:t>
            </w:r>
          </w:p>
        </w:tc>
      </w:tr>
      <w:tr>
        <w:tc>
          <w:tcPr/>
          <w:p>
            <w:pPr>
              <w:pStyle w:val="Compact"/>
              <w:jc w:val="left"/>
            </w:pPr>
            <w:r>
              <w:rPr>
                <w:bCs/>
                <w:b/>
              </w:rPr>
              <w:t xml:space="preserve">abar</w:t>
            </w:r>
          </w:p>
        </w:tc>
        <w:tc>
          <w:tcPr/>
          <w:p>
            <w:pPr>
              <w:pStyle w:val="Compact"/>
              <w:jc w:val="left"/>
            </w:pPr>
            <w:r>
              <w:t xml:space="preserve">LuxR-type response regulator</w:t>
            </w:r>
          </w:p>
        </w:tc>
        <w:tc>
          <w:tcPr/>
          <w:p>
            <w:pPr>
              <w:pStyle w:val="Compact"/>
              <w:jc w:val="left"/>
            </w:pPr>
            <w:r>
              <w:t xml:space="preserve">AHL-bound transcription factor regulating biofilm, motility, virulence genes</w:t>
            </w:r>
          </w:p>
        </w:tc>
        <w:tc>
          <w:tcPr/>
          <w:p>
            <w:pPr>
              <w:pStyle w:val="Compact"/>
              <w:jc w:val="right"/>
            </w:pPr>
            <w:r>
              <w:t xml:space="preserve">94</w:t>
            </w:r>
          </w:p>
        </w:tc>
        <w:tc>
          <w:tcPr/>
          <w:p>
            <w:pPr>
              <w:pStyle w:val="Compact"/>
              <w:jc w:val="left"/>
            </w:pPr>
            <w:r>
              <w:t xml:space="preserve">Docking studies; natural products and repurposed drugs targeting DNA-binding domain</w:t>
            </w:r>
          </w:p>
        </w:tc>
      </w:tr>
      <w:tr>
        <w:tc>
          <w:tcPr/>
          <w:p>
            <w:pPr>
              <w:pStyle w:val="Compact"/>
              <w:jc w:val="left"/>
            </w:pPr>
            <w:r>
              <w:rPr>
                <w:bCs/>
                <w:b/>
              </w:rPr>
              <w:t xml:space="preserve">abam</w:t>
            </w:r>
          </w:p>
        </w:tc>
        <w:tc>
          <w:tcPr/>
          <w:p>
            <w:pPr>
              <w:pStyle w:val="Compact"/>
              <w:jc w:val="left"/>
            </w:pPr>
            <w:r>
              <w:t xml:space="preserve">Orphan LuxR-type</w:t>
            </w:r>
          </w:p>
        </w:tc>
        <w:tc>
          <w:tcPr/>
          <w:p>
            <w:pPr>
              <w:pStyle w:val="Compact"/>
              <w:jc w:val="left"/>
            </w:pPr>
            <w:r>
              <w:t xml:space="preserve">Modulates AbaR activity; potential cross-talk node</w:t>
            </w:r>
          </w:p>
        </w:tc>
        <w:tc>
          <w:tcPr/>
          <w:p>
            <w:pPr>
              <w:pStyle w:val="Compact"/>
              <w:jc w:val="right"/>
            </w:pPr>
            <w:r>
              <w:t xml:space="preserve">10</w:t>
            </w:r>
          </w:p>
        </w:tc>
        <w:tc>
          <w:tcPr/>
          <w:p>
            <w:pPr>
              <w:pStyle w:val="Compact"/>
              <w:jc w:val="left"/>
            </w:pPr>
            <w:r>
              <w:t xml:space="preserve">Limited; emerging target</w:t>
            </w:r>
          </w:p>
        </w:tc>
      </w:tr>
      <w:tr>
        <w:tc>
          <w:tcPr/>
          <w:p>
            <w:pPr>
              <w:pStyle w:val="Compact"/>
              <w:jc w:val="left"/>
            </w:pPr>
            <w:r>
              <w:rPr>
                <w:bCs/>
                <w:b/>
              </w:rPr>
              <w:t xml:space="preserve">bfmr</w:t>
            </w:r>
          </w:p>
        </w:tc>
        <w:tc>
          <w:tcPr/>
          <w:p>
            <w:pPr>
              <w:pStyle w:val="Compact"/>
              <w:jc w:val="left"/>
            </w:pPr>
            <w:r>
              <w:t xml:space="preserve">Response regulator (TCS)</w:t>
            </w:r>
          </w:p>
        </w:tc>
        <w:tc>
          <w:tcPr/>
          <w:p>
            <w:pPr>
              <w:pStyle w:val="Compact"/>
              <w:jc w:val="left"/>
            </w:pPr>
            <w:r>
              <w:t xml:space="preserve">Two-component system; coordinates biofilm formation, capsule, resistance</w:t>
            </w:r>
          </w:p>
        </w:tc>
        <w:tc>
          <w:tcPr/>
          <w:p>
            <w:pPr>
              <w:pStyle w:val="Compact"/>
              <w:jc w:val="right"/>
            </w:pPr>
            <w:r>
              <w:t xml:space="preserve">24</w:t>
            </w:r>
          </w:p>
        </w:tc>
        <w:tc>
          <w:tcPr/>
          <w:p>
            <w:pPr>
              <w:pStyle w:val="Compact"/>
              <w:jc w:val="left"/>
            </w:pPr>
            <w:r>
              <w:t xml:space="preserve">Multiple natural-product and structure-based inhibitor screens</w:t>
            </w:r>
          </w:p>
        </w:tc>
      </w:tr>
      <w:tr>
        <w:tc>
          <w:tcPr/>
          <w:p>
            <w:pPr>
              <w:pStyle w:val="Compact"/>
              <w:jc w:val="left"/>
            </w:pPr>
            <w:r>
              <w:rPr>
                <w:bCs/>
                <w:b/>
              </w:rPr>
              <w:t xml:space="preserve">bfms</w:t>
            </w:r>
          </w:p>
        </w:tc>
        <w:tc>
          <w:tcPr/>
          <w:p>
            <w:pPr>
              <w:pStyle w:val="Compact"/>
              <w:jc w:val="left"/>
            </w:pPr>
            <w:r>
              <w:t xml:space="preserve">Sensor kinase (TCS)</w:t>
            </w:r>
          </w:p>
        </w:tc>
        <w:tc>
          <w:tcPr/>
          <w:p>
            <w:pPr>
              <w:pStyle w:val="Compact"/>
              <w:jc w:val="left"/>
            </w:pPr>
            <w:r>
              <w:t xml:space="preserve">Cognate kinase of BfmR — phosphorylation cascade</w:t>
            </w:r>
          </w:p>
        </w:tc>
        <w:tc>
          <w:tcPr/>
          <w:p>
            <w:pPr>
              <w:pStyle w:val="Compact"/>
              <w:jc w:val="right"/>
            </w:pPr>
            <w:r>
              <w:t xml:space="preserve">18</w:t>
            </w:r>
          </w:p>
        </w:tc>
        <w:tc>
          <w:tcPr/>
          <w:p>
            <w:pPr>
              <w:pStyle w:val="Compact"/>
              <w:jc w:val="left"/>
            </w:pPr>
            <w:r>
              <w:t xml:space="preserve">Druggability under exploration</w:t>
            </w:r>
          </w:p>
        </w:tc>
      </w:tr>
      <w:tr>
        <w:tc>
          <w:tcPr/>
          <w:p>
            <w:pPr>
              <w:pStyle w:val="Compact"/>
              <w:jc w:val="left"/>
            </w:pPr>
            <w:r>
              <w:rPr>
                <w:bCs/>
                <w:b/>
              </w:rPr>
              <w:t xml:space="preserve">adeR</w:t>
            </w:r>
          </w:p>
        </w:tc>
        <w:tc>
          <w:tcPr/>
          <w:p>
            <w:pPr>
              <w:pStyle w:val="Compact"/>
              <w:jc w:val="left"/>
            </w:pPr>
            <w:r>
              <w:t xml:space="preserve">—</w:t>
            </w:r>
          </w:p>
        </w:tc>
        <w:tc>
          <w:tcPr/>
          <w:p>
            <w:pPr>
              <w:pStyle w:val="Compact"/>
              <w:jc w:val="left"/>
            </w:pPr>
            <w:r>
              <w:t xml:space="preserve">—</w:t>
            </w:r>
          </w:p>
        </w:tc>
        <w:tc>
          <w:tcPr/>
          <w:p>
            <w:pPr>
              <w:pStyle w:val="Compact"/>
              <w:jc w:val="right"/>
            </w:pPr>
            <w:r>
              <w:t xml:space="preserve">0</w:t>
            </w:r>
          </w:p>
        </w:tc>
        <w:tc>
          <w:tcPr/>
          <w:p>
            <w:pPr>
              <w:pStyle w:val="Compact"/>
              <w:jc w:val="left"/>
            </w:pPr>
            <w:r>
              <w:t xml:space="preserve">—</w:t>
            </w:r>
          </w:p>
        </w:tc>
      </w:tr>
      <w:tr>
        <w:tc>
          <w:tcPr/>
          <w:p>
            <w:pPr>
              <w:pStyle w:val="Compact"/>
              <w:jc w:val="left"/>
            </w:pPr>
            <w:r>
              <w:rPr>
                <w:bCs/>
                <w:b/>
              </w:rPr>
              <w:t xml:space="preserve">ades</w:t>
            </w:r>
          </w:p>
        </w:tc>
        <w:tc>
          <w:tcPr/>
          <w:p>
            <w:pPr>
              <w:pStyle w:val="Compact"/>
              <w:jc w:val="left"/>
            </w:pPr>
            <w:r>
              <w:t xml:space="preserve">AdeS sensor kinase</w:t>
            </w:r>
          </w:p>
        </w:tc>
        <w:tc>
          <w:tcPr/>
          <w:p>
            <w:pPr>
              <w:pStyle w:val="Compact"/>
              <w:jc w:val="left"/>
            </w:pPr>
            <w:r>
              <w:t xml:space="preserve">Cognate kinase of AdeR</w:t>
            </w:r>
          </w:p>
        </w:tc>
        <w:tc>
          <w:tcPr/>
          <w:p>
            <w:pPr>
              <w:pStyle w:val="Compact"/>
              <w:jc w:val="right"/>
            </w:pPr>
            <w:r>
              <w:t xml:space="preserve">6</w:t>
            </w:r>
          </w:p>
        </w:tc>
        <w:tc>
          <w:tcPr/>
          <w:p>
            <w:pPr>
              <w:pStyle w:val="Compact"/>
              <w:jc w:val="left"/>
            </w:pPr>
            <w:r>
              <w:t xml:space="preserve">—</w:t>
            </w:r>
          </w:p>
        </w:tc>
      </w:tr>
      <w:tr>
        <w:tc>
          <w:tcPr/>
          <w:p>
            <w:pPr>
              <w:pStyle w:val="Compact"/>
              <w:jc w:val="left"/>
            </w:pPr>
            <w:r>
              <w:rPr>
                <w:bCs/>
                <w:b/>
              </w:rPr>
              <w:t xml:space="preserve">adeabc</w:t>
            </w:r>
          </w:p>
        </w:tc>
        <w:tc>
          <w:tcPr/>
          <w:p>
            <w:pPr>
              <w:pStyle w:val="Compact"/>
              <w:jc w:val="left"/>
            </w:pPr>
            <w:r>
              <w:t xml:space="preserve">RND efflux pump</w:t>
            </w:r>
          </w:p>
        </w:tc>
        <w:tc>
          <w:tcPr/>
          <w:p>
            <w:pPr>
              <w:pStyle w:val="Compact"/>
              <w:jc w:val="left"/>
            </w:pPr>
            <w:r>
              <w:t xml:space="preserve">Primary multidrug efflux — exports tigecycline, aminoglycosides</w:t>
            </w:r>
          </w:p>
        </w:tc>
        <w:tc>
          <w:tcPr/>
          <w:p>
            <w:pPr>
              <w:pStyle w:val="Compact"/>
              <w:jc w:val="right"/>
            </w:pPr>
            <w:r>
              <w:t xml:space="preserve">14</w:t>
            </w:r>
          </w:p>
        </w:tc>
        <w:tc>
          <w:tcPr/>
          <w:p>
            <w:pPr>
              <w:pStyle w:val="Compact"/>
              <w:jc w:val="left"/>
            </w:pPr>
            <w:r>
              <w:t xml:space="preserve">Down-regulated by some QSIs</w:t>
            </w:r>
          </w:p>
        </w:tc>
      </w:tr>
      <w:tr>
        <w:tc>
          <w:tcPr/>
          <w:p>
            <w:pPr>
              <w:pStyle w:val="Compact"/>
              <w:jc w:val="left"/>
            </w:pPr>
            <w:r>
              <w:rPr>
                <w:bCs/>
                <w:b/>
              </w:rPr>
              <w:t xml:space="preserve">adefgh</w:t>
            </w:r>
          </w:p>
        </w:tc>
        <w:tc>
          <w:tcPr/>
          <w:p>
            <w:pPr>
              <w:pStyle w:val="Compact"/>
              <w:jc w:val="left"/>
            </w:pPr>
            <w:r>
              <w:t xml:space="preserve">RND efflux pump</w:t>
            </w:r>
          </w:p>
        </w:tc>
        <w:tc>
          <w:tcPr/>
          <w:p>
            <w:pPr>
              <w:pStyle w:val="Compact"/>
              <w:jc w:val="left"/>
            </w:pPr>
            <w:r>
              <w:t xml:space="preserve">Cause of carbapenem, tigecycline resistance; QS-regulated</w:t>
            </w:r>
          </w:p>
        </w:tc>
        <w:tc>
          <w:tcPr/>
          <w:p>
            <w:pPr>
              <w:pStyle w:val="Compact"/>
              <w:jc w:val="right"/>
            </w:pPr>
            <w:r>
              <w:t xml:space="preserve">19</w:t>
            </w:r>
          </w:p>
        </w:tc>
        <w:tc>
          <w:tcPr/>
          <w:p>
            <w:pPr>
              <w:pStyle w:val="Compact"/>
              <w:jc w:val="left"/>
            </w:pPr>
            <w:r>
              <w:t xml:space="preserve">Targeted indirectly via AbaR pathway</w:t>
            </w:r>
          </w:p>
        </w:tc>
      </w:tr>
      <w:tr>
        <w:tc>
          <w:tcPr/>
          <w:p>
            <w:pPr>
              <w:pStyle w:val="Compact"/>
              <w:jc w:val="left"/>
            </w:pPr>
            <w:r>
              <w:rPr>
                <w:bCs/>
                <w:b/>
              </w:rPr>
              <w:t xml:space="preserve">adeijk</w:t>
            </w:r>
          </w:p>
        </w:tc>
        <w:tc>
          <w:tcPr/>
          <w:p>
            <w:pPr>
              <w:pStyle w:val="Compact"/>
              <w:jc w:val="left"/>
            </w:pPr>
            <w:r>
              <w:t xml:space="preserve">RND efflux pump</w:t>
            </w:r>
          </w:p>
        </w:tc>
        <w:tc>
          <w:tcPr/>
          <w:p>
            <w:pPr>
              <w:pStyle w:val="Compact"/>
              <w:jc w:val="left"/>
            </w:pPr>
            <w:r>
              <w:t xml:space="preserve">Constitutive efflux; broad-spectrum substrate</w:t>
            </w:r>
          </w:p>
        </w:tc>
        <w:tc>
          <w:tcPr/>
          <w:p>
            <w:pPr>
              <w:pStyle w:val="Compact"/>
              <w:jc w:val="right"/>
            </w:pPr>
            <w:r>
              <w:t xml:space="preserve">12</w:t>
            </w:r>
          </w:p>
        </w:tc>
        <w:tc>
          <w:tcPr/>
          <w:p>
            <w:pPr>
              <w:pStyle w:val="Compact"/>
              <w:jc w:val="left"/>
            </w:pPr>
            <w:r>
              <w:t xml:space="preserve">Limited direct QSI effect</w:t>
            </w:r>
          </w:p>
        </w:tc>
      </w:tr>
      <w:tr>
        <w:tc>
          <w:tcPr/>
          <w:p>
            <w:pPr>
              <w:pStyle w:val="Compact"/>
              <w:jc w:val="left"/>
            </w:pPr>
            <w:r>
              <w:rPr>
                <w:bCs/>
                <w:b/>
              </w:rPr>
              <w:t xml:space="preserve">csua</w:t>
            </w:r>
          </w:p>
        </w:tc>
        <w:tc>
          <w:tcPr/>
          <w:p>
            <w:pPr>
              <w:pStyle w:val="Compact"/>
              <w:jc w:val="left"/>
            </w:pPr>
            <w:r>
              <w:t xml:space="preserve">Csu chaperone-usher pilus</w:t>
            </w:r>
          </w:p>
        </w:tc>
        <w:tc>
          <w:tcPr/>
          <w:p>
            <w:pPr>
              <w:pStyle w:val="Compact"/>
              <w:jc w:val="left"/>
            </w:pPr>
            <w:r>
              <w:t xml:space="preserve">Pilus assembly subunit — adhesion and biofilm initiation</w:t>
            </w:r>
          </w:p>
        </w:tc>
        <w:tc>
          <w:tcPr/>
          <w:p>
            <w:pPr>
              <w:pStyle w:val="Compact"/>
              <w:jc w:val="right"/>
            </w:pPr>
            <w:r>
              <w:t xml:space="preserve">37</w:t>
            </w:r>
          </w:p>
        </w:tc>
        <w:tc>
          <w:tcPr/>
          <w:p>
            <w:pPr>
              <w:pStyle w:val="Compact"/>
              <w:jc w:val="left"/>
            </w:pPr>
            <w:r>
              <w:t xml:space="preserve">Indirectly modulated by QS interventions</w:t>
            </w:r>
          </w:p>
        </w:tc>
      </w:tr>
      <w:tr>
        <w:tc>
          <w:tcPr/>
          <w:p>
            <w:pPr>
              <w:pStyle w:val="Compact"/>
              <w:jc w:val="left"/>
            </w:pPr>
            <w:r>
              <w:rPr>
                <w:bCs/>
                <w:b/>
              </w:rPr>
              <w:t xml:space="preserve">csub</w:t>
            </w:r>
          </w:p>
        </w:tc>
        <w:tc>
          <w:tcPr/>
          <w:p>
            <w:pPr>
              <w:pStyle w:val="Compact"/>
              <w:jc w:val="left"/>
            </w:pPr>
            <w:r>
              <w:t xml:space="preserve">Csu pilus subunit</w:t>
            </w:r>
          </w:p>
        </w:tc>
        <w:tc>
          <w:tcPr/>
          <w:p>
            <w:pPr>
              <w:pStyle w:val="Compact"/>
              <w:jc w:val="left"/>
            </w:pPr>
            <w:r>
              <w:t xml:space="preserve">Structural pilin</w:t>
            </w:r>
          </w:p>
        </w:tc>
        <w:tc>
          <w:tcPr/>
          <w:p>
            <w:pPr>
              <w:pStyle w:val="Compact"/>
              <w:jc w:val="right"/>
            </w:pPr>
            <w:r>
              <w:t xml:space="preserve">14</w:t>
            </w:r>
          </w:p>
        </w:tc>
        <w:tc>
          <w:tcPr/>
          <w:p>
            <w:pPr>
              <w:pStyle w:val="Compact"/>
              <w:jc w:val="left"/>
            </w:pPr>
            <w:r>
              <w:t xml:space="preserve">—</w:t>
            </w:r>
          </w:p>
        </w:tc>
      </w:tr>
      <w:tr>
        <w:tc>
          <w:tcPr/>
          <w:p>
            <w:pPr>
              <w:pStyle w:val="Compact"/>
              <w:jc w:val="left"/>
            </w:pPr>
            <w:r>
              <w:rPr>
                <w:bCs/>
                <w:b/>
              </w:rPr>
              <w:t xml:space="preserve">csuc</w:t>
            </w:r>
          </w:p>
        </w:tc>
        <w:tc>
          <w:tcPr/>
          <w:p>
            <w:pPr>
              <w:pStyle w:val="Compact"/>
              <w:jc w:val="left"/>
            </w:pPr>
            <w:r>
              <w:t xml:space="preserve">Csu chaperone</w:t>
            </w:r>
          </w:p>
        </w:tc>
        <w:tc>
          <w:tcPr/>
          <w:p>
            <w:pPr>
              <w:pStyle w:val="Compact"/>
              <w:jc w:val="left"/>
            </w:pPr>
            <w:r>
              <w:t xml:space="preserve">Pilus assembly</w:t>
            </w:r>
          </w:p>
        </w:tc>
        <w:tc>
          <w:tcPr/>
          <w:p>
            <w:pPr>
              <w:pStyle w:val="Compact"/>
              <w:jc w:val="right"/>
            </w:pPr>
            <w:r>
              <w:t xml:space="preserve">16</w:t>
            </w:r>
          </w:p>
        </w:tc>
        <w:tc>
          <w:tcPr/>
          <w:p>
            <w:pPr>
              <w:pStyle w:val="Compact"/>
              <w:jc w:val="left"/>
            </w:pPr>
            <w:r>
              <w:t xml:space="preserve">—</w:t>
            </w:r>
          </w:p>
        </w:tc>
      </w:tr>
      <w:tr>
        <w:tc>
          <w:tcPr/>
          <w:p>
            <w:pPr>
              <w:pStyle w:val="Compact"/>
              <w:jc w:val="left"/>
            </w:pPr>
            <w:r>
              <w:rPr>
                <w:bCs/>
                <w:b/>
              </w:rPr>
              <w:t xml:space="preserve">csud</w:t>
            </w:r>
          </w:p>
        </w:tc>
        <w:tc>
          <w:tcPr/>
          <w:p>
            <w:pPr>
              <w:pStyle w:val="Compact"/>
              <w:jc w:val="left"/>
            </w:pPr>
            <w:r>
              <w:t xml:space="preserve">Csu usher</w:t>
            </w:r>
          </w:p>
        </w:tc>
        <w:tc>
          <w:tcPr/>
          <w:p>
            <w:pPr>
              <w:pStyle w:val="Compact"/>
              <w:jc w:val="left"/>
            </w:pPr>
            <w:r>
              <w:t xml:space="preserve">Pilus assembly</w:t>
            </w:r>
          </w:p>
        </w:tc>
        <w:tc>
          <w:tcPr/>
          <w:p>
            <w:pPr>
              <w:pStyle w:val="Compact"/>
              <w:jc w:val="right"/>
            </w:pPr>
            <w:r>
              <w:t xml:space="preserve">15</w:t>
            </w:r>
          </w:p>
        </w:tc>
        <w:tc>
          <w:tcPr/>
          <w:p>
            <w:pPr>
              <w:pStyle w:val="Compact"/>
              <w:jc w:val="left"/>
            </w:pPr>
            <w:r>
              <w:t xml:space="preserve">—</w:t>
            </w:r>
          </w:p>
        </w:tc>
      </w:tr>
      <w:tr>
        <w:tc>
          <w:tcPr/>
          <w:p>
            <w:pPr>
              <w:pStyle w:val="Compact"/>
              <w:jc w:val="left"/>
            </w:pPr>
            <w:r>
              <w:rPr>
                <w:bCs/>
                <w:b/>
              </w:rPr>
              <w:t xml:space="preserve">csue</w:t>
            </w:r>
          </w:p>
        </w:tc>
        <w:tc>
          <w:tcPr/>
          <w:p>
            <w:pPr>
              <w:pStyle w:val="Compact"/>
              <w:jc w:val="left"/>
            </w:pPr>
            <w:r>
              <w:t xml:space="preserve">Csu tip adhesin</w:t>
            </w:r>
          </w:p>
        </w:tc>
        <w:tc>
          <w:tcPr/>
          <w:p>
            <w:pPr>
              <w:pStyle w:val="Compact"/>
              <w:jc w:val="left"/>
            </w:pPr>
            <w:r>
              <w:t xml:space="preserve">Adhesin tip — primary attachment</w:t>
            </w:r>
          </w:p>
        </w:tc>
        <w:tc>
          <w:tcPr/>
          <w:p>
            <w:pPr>
              <w:pStyle w:val="Compact"/>
              <w:jc w:val="right"/>
            </w:pPr>
            <w:r>
              <w:t xml:space="preserve">28</w:t>
            </w:r>
          </w:p>
        </w:tc>
        <w:tc>
          <w:tcPr/>
          <w:p>
            <w:pPr>
              <w:pStyle w:val="Compact"/>
              <w:jc w:val="left"/>
            </w:pPr>
            <w:r>
              <w:t xml:space="preserve">Target for adhesion-blocking antibodies</w:t>
            </w:r>
          </w:p>
        </w:tc>
      </w:tr>
      <w:tr>
        <w:tc>
          <w:tcPr/>
          <w:p>
            <w:pPr>
              <w:pStyle w:val="Compact"/>
              <w:jc w:val="left"/>
            </w:pPr>
            <w:r>
              <w:rPr>
                <w:bCs/>
                <w:b/>
              </w:rPr>
              <w:t xml:space="preserve">ompa</w:t>
            </w:r>
          </w:p>
        </w:tc>
        <w:tc>
          <w:tcPr/>
          <w:p>
            <w:pPr>
              <w:pStyle w:val="Compact"/>
              <w:jc w:val="left"/>
            </w:pPr>
            <w:r>
              <w:t xml:space="preserve">Outer membrane protein A</w:t>
            </w:r>
          </w:p>
        </w:tc>
        <w:tc>
          <w:tcPr/>
          <w:p>
            <w:pPr>
              <w:pStyle w:val="Compact"/>
              <w:jc w:val="left"/>
            </w:pPr>
            <w:r>
              <w:t xml:space="preserve">Virulence factor; pro-apoptotic, adhesion, biofilm matrix component</w:t>
            </w:r>
          </w:p>
        </w:tc>
        <w:tc>
          <w:tcPr/>
          <w:p>
            <w:pPr>
              <w:pStyle w:val="Compact"/>
              <w:jc w:val="right"/>
            </w:pPr>
            <w:r>
              <w:t xml:space="preserve">47</w:t>
            </w:r>
          </w:p>
        </w:tc>
        <w:tc>
          <w:tcPr/>
          <w:p>
            <w:pPr>
              <w:pStyle w:val="Compact"/>
              <w:jc w:val="left"/>
            </w:pPr>
            <w:r>
              <w:t xml:space="preserve">Vaccine antigen candidate; QSI co-targeting</w:t>
            </w:r>
          </w:p>
        </w:tc>
      </w:tr>
      <w:tr>
        <w:tc>
          <w:tcPr/>
          <w:p>
            <w:pPr>
              <w:pStyle w:val="Compact"/>
              <w:jc w:val="left"/>
            </w:pPr>
            <w:r>
              <w:rPr>
                <w:bCs/>
                <w:b/>
              </w:rPr>
              <w:t xml:space="preserve">bap</w:t>
            </w:r>
          </w:p>
        </w:tc>
        <w:tc>
          <w:tcPr/>
          <w:p>
            <w:pPr>
              <w:pStyle w:val="Compact"/>
              <w:jc w:val="left"/>
            </w:pPr>
            <w:r>
              <w:t xml:space="preserve">Biofilm-associated protein</w:t>
            </w:r>
          </w:p>
        </w:tc>
        <w:tc>
          <w:tcPr/>
          <w:p>
            <w:pPr>
              <w:pStyle w:val="Compact"/>
              <w:jc w:val="left"/>
            </w:pPr>
            <w:r>
              <w:t xml:space="preserve">Surface protein critical for biofilm maturation</w:t>
            </w:r>
          </w:p>
        </w:tc>
        <w:tc>
          <w:tcPr/>
          <w:p>
            <w:pPr>
              <w:pStyle w:val="Compact"/>
              <w:jc w:val="right"/>
            </w:pPr>
            <w:r>
              <w:t xml:space="preserve">29</w:t>
            </w:r>
          </w:p>
        </w:tc>
        <w:tc>
          <w:tcPr/>
          <w:p>
            <w:pPr>
              <w:pStyle w:val="Compact"/>
              <w:jc w:val="left"/>
            </w:pPr>
            <w:r>
              <w:t xml:space="preserve">Reduced expression upon QSI exposure</w:t>
            </w:r>
          </w:p>
        </w:tc>
      </w:tr>
      <w:tr>
        <w:tc>
          <w:tcPr/>
          <w:p>
            <w:pPr>
              <w:pStyle w:val="Compact"/>
              <w:jc w:val="left"/>
            </w:pPr>
            <w:r>
              <w:rPr>
                <w:bCs/>
                <w:b/>
              </w:rPr>
              <w:t xml:space="preserve">pgaabcd</w:t>
            </w:r>
          </w:p>
        </w:tc>
        <w:tc>
          <w:tcPr/>
          <w:p>
            <w:pPr>
              <w:pStyle w:val="Compact"/>
              <w:jc w:val="left"/>
            </w:pPr>
            <w:r>
              <w:t xml:space="preserve">Poly-β-1,6-GlcNAc synthesis</w:t>
            </w:r>
          </w:p>
        </w:tc>
        <w:tc>
          <w:tcPr/>
          <w:p>
            <w:pPr>
              <w:pStyle w:val="Compact"/>
              <w:jc w:val="left"/>
            </w:pPr>
            <w:r>
              <w:t xml:space="preserve">PNAG biofilm matrix polysaccharide biosynthesis</w:t>
            </w:r>
          </w:p>
        </w:tc>
        <w:tc>
          <w:tcPr/>
          <w:p>
            <w:pPr>
              <w:pStyle w:val="Compact"/>
              <w:jc w:val="right"/>
            </w:pPr>
            <w:r>
              <w:t xml:space="preserve">11</w:t>
            </w:r>
          </w:p>
        </w:tc>
        <w:tc>
          <w:tcPr/>
          <w:p>
            <w:pPr>
              <w:pStyle w:val="Compact"/>
              <w:jc w:val="left"/>
            </w:pPr>
            <w:r>
              <w:t xml:space="preserve">QSI exposure suppresses pgaABCD transcription</w:t>
            </w:r>
          </w:p>
        </w:tc>
      </w:tr>
    </w:tbl>
    <w:bookmarkEnd w:id="57"/>
    <w:bookmarkStart w:id="66" w:name="Xb2d5bd6a87002d0a2c05af57f846ba3105c8655"/>
    <w:p>
      <w:pPr>
        <w:pStyle w:val="Heading3"/>
      </w:pPr>
      <w:r>
        <w:t xml:space="preserve">3.4 Therapeutic Targeting of QS — Intervention Classes</w:t>
      </w:r>
    </w:p>
    <w:p>
      <w:pPr>
        <w:pStyle w:val="FirstParagraph"/>
      </w:pPr>
      <w:r>
        <w:t xml:space="preserve">Across the 340-paper corpus, 247 records (73%) reported on at least one candidate intervention with a defined or implied quorum-sensing (QS) mechanism. Eight chemical or biological classes were sufficiently represented to permit comparative analysis: natural products (n=52), bacteriophages (n=67), peptides (n=31), quorum-quenching (QQ) enzymes (n=30), nanoparticles (n=22), synthetic small molecules (n=20), repurposed FDA-approved drugs (n=14), and antibody/vaccine constructs (n=11). The maturity gradient is uneven: more than half of the natural-product and synthetic-compound studies remain in vitro or in silico, whereas approximately 40% of phage studies and most QQ-enzyme reports include at least a</w:t>
      </w:r>
      <w:r>
        <w:t xml:space="preserve"> </w:t>
      </w:r>
      <w:r>
        <w:rPr>
          <w:iCs/>
          <w:i/>
        </w:rPr>
        <w:t xml:space="preserve">Galleria mellonella</w:t>
      </w:r>
      <w:r>
        <w:t xml:space="preserve">, zebrafish, or murine validation step. Only Beasley_2025, Styles_2020, and a small number of phage compassionate-use reports approach a clinical endpoint within the included literature. The following subsections summarise mechanistic rationale, quantitative effect sizes where reported, and translational status for each class.</w:t>
      </w:r>
    </w:p>
    <w:bookmarkStart w:id="58" w:name="X2f0a1884740f7cb2a40af119cb2e163d0c34ff8"/>
    <w:p>
      <w:pPr>
        <w:pStyle w:val="Heading4"/>
      </w:pPr>
      <w:r>
        <w:t xml:space="preserve">3.4.1 Natural products and phytochemicals</w:t>
      </w:r>
    </w:p>
    <w:p>
      <w:pPr>
        <w:pStyle w:val="FirstParagraph"/>
      </w:pPr>
      <w:r>
        <w:t xml:space="preserve">Plant- and microbe-derived QS inhibitors dominate the literature numerically and account for 52 dedicated studies plus a further 18 that incorporate phytochemicals into multimodal platforms. Five chemotypes recur: (i) volatile terpenoids in essential oils (Salvia abrotanoides [Masoomi_2025], Mentha piperita [MajidiFard_2025], Ambrosia hispida [DzibBaak_2025], eugenol [Ribeiro_2024], and the broad survey by [Wei_2025]); (ii) phenolic diterpenes and abietanes, exemplified by carnosol [Cui_2025]; (iii) isoquinoline alkaloids, principally berberine and analogues reviewed by [DudaMadej_2025]; (iv) flavonoids/isoflavonoids such as glabridin [Lin_2023] and kaempferol [Zeng_2023]; and (v) phenolic acids and small aromatics, including 3-hydroxybenzoic acid [Pathoor_2024], 2,4-di-tert-butylphenol [Jha_2024], 6-gingerol [Elfaky_2024], and traditional Chinese medicine monomers screened by [Zeng_2023].</w:t>
      </w:r>
    </w:p>
    <w:p>
      <w:pPr>
        <w:pStyle w:val="BodyText"/>
      </w:pPr>
      <w:r>
        <w:t xml:space="preserve">Mechanistically, three modes recur. First, signal-mimicry and AbaR-binding antagonism: in silico docking studies repeatedly localise active phytochemicals to the autoinducer-binding pocket of AbaR or the AbaI substrate cleft. [BellI_2025] used a dual-target structure-based pipeline against AbaI and AbaR, prioritising six lead hits with favourable ADMET profiles. Daniellia oliveri compounds were prioritised as RstA (BfmR) ligands in [Aruwa_2025] (in silico). [Cui_2025] (animal model) demonstrated that carnosol, isolated by activity-guided HPLC fractionation, reduced AbiR binding to target promoters by approximately 10 μg/mL bioactivity and at 100 μM significantly suppressed</w:t>
      </w:r>
      <w:r>
        <w:t xml:space="preserve"> </w:t>
      </w:r>
      <w:r>
        <w:rPr>
          <w:iCs/>
          <w:i/>
        </w:rPr>
        <w:t xml:space="preserve">abaI/abaR/abiS/abiR</w:t>
      </w:r>
      <w:r>
        <w:t xml:space="preserve"> </w:t>
      </w:r>
      <w:r>
        <w:t xml:space="preserve">promoter activity in</w:t>
      </w:r>
      <w:r>
        <w:t xml:space="preserve"> </w:t>
      </w:r>
      <w:r>
        <w:rPr>
          <w:iCs/>
          <w:i/>
        </w:rPr>
        <w:t xml:space="preserve">A. baumannii</w:t>
      </w:r>
      <w:r>
        <w:t xml:space="preserve"> </w:t>
      </w:r>
      <w:r>
        <w:t xml:space="preserve">ATCC 17978, with rescue of</w:t>
      </w:r>
      <w:r>
        <w:t xml:space="preserve"> </w:t>
      </w:r>
      <w:r>
        <w:rPr>
          <w:iCs/>
          <w:i/>
        </w:rPr>
        <w:t xml:space="preserve">G. mellonella</w:t>
      </w:r>
      <w:r>
        <w:t xml:space="preserve"> </w:t>
      </w:r>
      <w:r>
        <w:t xml:space="preserve">survival. Second, signal degradation by polyphenol catalysis or chelation of catalytic cofactors. Third, transcriptional down-regulation of</w:t>
      </w:r>
      <w:r>
        <w:t xml:space="preserve"> </w:t>
      </w:r>
      <w:r>
        <w:rPr>
          <w:iCs/>
          <w:i/>
        </w:rPr>
        <w:t xml:space="preserve">abaI/abaR</w:t>
      </w:r>
      <w:r>
        <w:t xml:space="preserve">: glabridin reduced</w:t>
      </w:r>
      <w:r>
        <w:t xml:space="preserve"> </w:t>
      </w:r>
      <w:r>
        <w:rPr>
          <w:iCs/>
          <w:i/>
        </w:rPr>
        <w:t xml:space="preserve">abaI</w:t>
      </w:r>
      <w:r>
        <w:t xml:space="preserve"> </w:t>
      </w:r>
      <w:r>
        <w:t xml:space="preserve">and</w:t>
      </w:r>
      <w:r>
        <w:t xml:space="preserve"> </w:t>
      </w:r>
      <w:r>
        <w:rPr>
          <w:iCs/>
          <w:i/>
        </w:rPr>
        <w:t xml:space="preserve">abaR</w:t>
      </w:r>
      <w:r>
        <w:t xml:space="preserve"> </w:t>
      </w:r>
      <w:r>
        <w:t xml:space="preserve">expression by 39.1% and 25.2% respectively (P&lt;0.001), with 27.4% biofilm inhibition at 1/2 MIC [Lin_2023] (in vitro). Indole-mediated signalling — an emerging parallel QS-like axis in</w:t>
      </w:r>
      <w:r>
        <w:t xml:space="preserve"> </w:t>
      </w:r>
      <w:r>
        <w:rPr>
          <w:iCs/>
          <w:i/>
        </w:rPr>
        <w:t xml:space="preserve">A. baumannii</w:t>
      </w:r>
      <w:r>
        <w:t xml:space="preserve"> </w:t>
      </w:r>
      <w:r>
        <w:t xml:space="preserve">— was the target of carnosol in [Cui_2025] and of 7-hydroxyindole in [Li_2025] (animal model), the latter retaining biofilm-inhibitory activity at 1/64 MIC (8 µg/mL).</w:t>
      </w:r>
    </w:p>
    <w:p>
      <w:pPr>
        <w:pStyle w:val="BodyText"/>
      </w:pPr>
      <w:r>
        <w:t xml:space="preserve">Quantitative outcomes are heterogeneous but consistent in direction.</w:t>
      </w:r>
      <w:r>
        <w:t xml:space="preserve"> </w:t>
      </w:r>
      <w:r>
        <w:rPr>
          <w:iCs/>
          <w:i/>
        </w:rPr>
        <w:t xml:space="preserve">Paederia foetida</w:t>
      </w:r>
      <w:r>
        <w:t xml:space="preserve"> </w:t>
      </w:r>
      <w:r>
        <w:t xml:space="preserve">extract produced dose-dependent biofilm reduction (MIC 7.81 mg/mL; significant biomass reduction at 1/2 MIC, P&lt;0.001) in</w:t>
      </w:r>
      <w:r>
        <w:t xml:space="preserve"> </w:t>
      </w:r>
      <w:r>
        <w:rPr>
          <w:iCs/>
          <w:i/>
        </w:rPr>
        <w:t xml:space="preserve">G. mellonella</w:t>
      </w:r>
      <w:r>
        <w:t xml:space="preserve">-validated work [Santajit_2025]. Peppermint extract at 2× MIC shifted 64% of clinical isolates from strong to weak biofilm phenotype (P&lt;0.001) [MajidiFard_2025]. Agricultural-waste bioactives (furfuryl alcohol with 3-methyl-2-cyclopentenone) eradicated 52% of mature biofilm on stainless-steel surfaces at 1/2 FIC [Krishnan_2025] (in vitro). Glycyrrhiza glabra extract down-regulated</w:t>
      </w:r>
      <w:r>
        <w:t xml:space="preserve"> </w:t>
      </w:r>
      <w:r>
        <w:rPr>
          <w:iCs/>
          <w:i/>
        </w:rPr>
        <w:t xml:space="preserve">abaI</w:t>
      </w:r>
      <w:r>
        <w:t xml:space="preserve">,</w:t>
      </w:r>
      <w:r>
        <w:t xml:space="preserve"> </w:t>
      </w:r>
      <w:r>
        <w:rPr>
          <w:iCs/>
          <w:i/>
        </w:rPr>
        <w:t xml:space="preserve">abaR</w:t>
      </w:r>
      <w:r>
        <w:t xml:space="preserve">,</w:t>
      </w:r>
      <w:r>
        <w:t xml:space="preserve"> </w:t>
      </w:r>
      <w:r>
        <w:rPr>
          <w:iCs/>
          <w:i/>
        </w:rPr>
        <w:t xml:space="preserve">bap</w:t>
      </w:r>
      <w:r>
        <w:t xml:space="preserve">, and</w:t>
      </w:r>
      <w:r>
        <w:t xml:space="preserve"> </w:t>
      </w:r>
      <w:r>
        <w:rPr>
          <w:iCs/>
          <w:i/>
        </w:rPr>
        <w:t xml:space="preserve">ompA</w:t>
      </w:r>
      <w:r>
        <w:t xml:space="preserve"> </w:t>
      </w:r>
      <w:r>
        <w:t xml:space="preserve">concurrently [Mohamad_2023]. Streptomyces pakalii culture supernatants inhibited &gt;50% of ESKAPE biofilm formation and disrupted mature films [ChvezHernndez_2023]. Other reported actives include vanillin/vanillic acid [Maisch_2022], eugenol [Ribeiro_2024], traditional Chinese medicine monomers cinnamaldehyde, carvacrol and resveratrol (MICs 16–32 µg/mL) [Zeng_2023], Salmonella metabolites [Qadir_2025], and</w:t>
      </w:r>
      <w:r>
        <w:t xml:space="preserve"> </w:t>
      </w:r>
      <w:r>
        <w:rPr>
          <w:iCs/>
          <w:i/>
        </w:rPr>
        <w:t xml:space="preserve">Bacillus vallismortis</w:t>
      </w:r>
      <w:r>
        <w:t xml:space="preserve"> </w:t>
      </w:r>
      <w:r>
        <w:t xml:space="preserve">cell-free supernatant (83.0% biofilm inhibition) [Jha_2024]. Reviews [Ghosh_2022], [Wei_2025], [DudaMadej_2025], [Sorenson_2025], and [Cui_2025_2] consolidate the chemotype landscape.</w:t>
      </w:r>
    </w:p>
    <w:p>
      <w:pPr>
        <w:pStyle w:val="BodyText"/>
      </w:pPr>
      <w:r>
        <w:t xml:space="preserve">Structure–activity considerations recur across reports. The diterpene scaffold of carnosol, the catechol motif of polyphenols, and the prenylated isoflavonoid core of glabridin all confer hydrogen-bond donor/acceptor patterns compatible with the AbaR ligand-binding pocket as modelled by [BellI_2025] and [Aruwa_2025]. Halogenated indole substitutents (5-iodo, 5-fluoro, 6-bromo) improved MIC by approximately 8–16-fold relative to the parent indole [Li_2025]. Eugenol, a phenylpropanoid with a single phenolic hydroxyl, retained QS-inhibitory and anti-biofilm activity across nine surveyed studies [Ribeiro_2024]. In contrast, more polar phytochemicals such as 6-gingerol [Elfaky_2024] showed efflux-modulating rather than direct AbaR-binding activity, suggesting that not all natural-product effects are mediated through the canonical QS receptor.</w:t>
      </w:r>
    </w:p>
    <w:p>
      <w:pPr>
        <w:pStyle w:val="BodyText"/>
      </w:pPr>
      <w:r>
        <w:t xml:space="preserve">The translational hurdles repeatedly flagged include compositional variability of essential oils (chemotype seasonality, harvesting-method dependence), poor aqueous solubility, low oral bioavailability (carnosol, berberine, glabridin), the absence of standardised QS-readout assays across studies (CV026 violacein, AbaR-lacZ,</w:t>
      </w:r>
      <w:r>
        <w:t xml:space="preserve"> </w:t>
      </w:r>
      <w:r>
        <w:rPr>
          <w:iCs/>
          <w:i/>
        </w:rPr>
        <w:t xml:space="preserve">abaI</w:t>
      </w:r>
      <w:r>
        <w:t xml:space="preserve"> </w:t>
      </w:r>
      <w:r>
        <w:t xml:space="preserve">qPCR, biofilm crystal violet are used inconsistently), and reliance on biofilm-staining endpoints that may not reflect in vivo persistence. Of the 52 natural-product studies, only 13 advanced to an animal model, and none in this corpus reported a controlled clinical endpoint, in line with the broader concerns articulated by [Wei_2025], [Sorenson_2025], and [NaseefPathoor_2024]. Reproducibility is further complicated by the use of multiple parent strains (ATCC 17978, 19606, AYE) which differ in</w:t>
      </w:r>
      <w:r>
        <w:t xml:space="preserve"> </w:t>
      </w:r>
      <w:r>
        <w:rPr>
          <w:iCs/>
          <w:i/>
        </w:rPr>
        <w:t xml:space="preserve">abaI/abaR</w:t>
      </w:r>
      <w:r>
        <w:t xml:space="preserve"> </w:t>
      </w:r>
      <w:r>
        <w:t xml:space="preserve">baseline expression and biofilm architecture.</w:t>
      </w:r>
    </w:p>
    <w:bookmarkEnd w:id="58"/>
    <w:bookmarkStart w:id="59" w:name="X4fa8b0b9784699d300cc62623226075bf5ed3cc"/>
    <w:p>
      <w:pPr>
        <w:pStyle w:val="Heading4"/>
      </w:pPr>
      <w:r>
        <w:t xml:space="preserve">3.4.2 Synthetic small-molecule QSIs</w:t>
      </w:r>
    </w:p>
    <w:p>
      <w:pPr>
        <w:pStyle w:val="FirstParagraph"/>
      </w:pPr>
      <w:r>
        <w:t xml:space="preserve">Synthetic QSIs in the corpus span four scaffolds: halogenated furanones, AHL analogues, indole derivatives, and structure-based virtual-screening hits. Stacy and colleagues established proof-of-concept that non-native N-acyl homoserine lactones can antagonise AbaR in</w:t>
      </w:r>
      <w:r>
        <w:t xml:space="preserve"> </w:t>
      </w:r>
      <w:r>
        <w:rPr>
          <w:iCs/>
          <w:i/>
        </w:rPr>
        <w:t xml:space="preserve">A. baumannii</w:t>
      </w:r>
      <w:r>
        <w:t xml:space="preserve"> </w:t>
      </w:r>
      <w:r>
        <w:t xml:space="preserve">with EC50 values approaching the native (R)-3-OH-C12-HSL ligand (0.67–0.82 µM for stereoisomers) and that five of the screened library members reduced biofilm formation in vitro [Stacy_2012_2], [Stacy_2012], [Garner_2012]. Triazole-containing AHL mimics showed LasR antagonism with IC50 values down to 3.2 µM, providing a chemical starting point transferable to AbaR by virtue of the ~40% binding-pocket similarity [Stacy_2012]. Furanone C30, included as a positive control in [Zeng_2023], showed an MIC of 64 µg/mL against the CV026 indicator strain.</w:t>
      </w:r>
    </w:p>
    <w:p>
      <w:pPr>
        <w:pStyle w:val="BodyText"/>
      </w:pPr>
      <w:r>
        <w:t xml:space="preserve">The most recent and arguably most translationally framed synthetic-compound work is [Beasley_2025] (preprint; in vitro + biological-data curation), which assembled 36 compounds with ≥50% QS inhibition at ≤10 µM and prioritised levamisole, azaguanine-8, ketoprofen, indomethacin and piroxicam for antibiotic-enhancement testing. Levamisole at 1/8 MIC achieved &gt;50% biofilm inhibition in 85% of</w:t>
      </w:r>
      <w:r>
        <w:t xml:space="preserve"> </w:t>
      </w:r>
      <w:r>
        <w:rPr>
          <w:iCs/>
          <w:i/>
        </w:rPr>
        <w:t xml:space="preserve">A. baumannii</w:t>
      </w:r>
      <w:r>
        <w:t xml:space="preserve"> </w:t>
      </w:r>
      <w:r>
        <w:t xml:space="preserve">strains and reduced</w:t>
      </w:r>
      <w:r>
        <w:t xml:space="preserve"> </w:t>
      </w:r>
      <w:r>
        <w:rPr>
          <w:iCs/>
          <w:i/>
        </w:rPr>
        <w:t xml:space="preserve">P. aeruginosa</w:t>
      </w:r>
      <w:r>
        <w:t xml:space="preserve"> </w:t>
      </w:r>
      <w:r>
        <w:t xml:space="preserve">swarming (67%), biofilm (75%) and rhamnolipid secretion (53%) [Beasley_2025]. Indole derivatives represent a second productive chemotype: 37 of 46 synthesised indoles displayed activity against XDR-AB (MIC 64–1024 µg/mL), with 5-iodoindole, 5-fluoroindole, 6-bromoindole and 3-methylindole the most potent (MIC 64 µg/mL) and 7-hydroxyindole retaining anti-biofilm activity at 1/64 MIC [Li_2025] (animal model). [Wheeler_2025] expanded the synthetic-QSI rationale to polymicrobial contexts by targeting the MvfR (PqsR) regulator.</w:t>
      </w:r>
    </w:p>
    <w:p>
      <w:pPr>
        <w:pStyle w:val="BodyText"/>
      </w:pPr>
      <w:r>
        <w:t xml:space="preserve">Structure-based design is exemplified by [BellI_2025], whose molecular dynamics simulations identified a dual-targeting hit (hit 2) against AbaI and AbaR with favourable pharmacokinetic predictions; the dual-target rationale is intended to mitigate emergence of escape mutations affecting either single receptor. [Aruwa_2025] applied an analogous approach to the BfmR (RstA) response regulator using</w:t>
      </w:r>
      <w:r>
        <w:t xml:space="preserve"> </w:t>
      </w:r>
      <w:r>
        <w:rPr>
          <w:iCs/>
          <w:i/>
        </w:rPr>
        <w:t xml:space="preserve">Daniellia oliveri</w:t>
      </w:r>
      <w:r>
        <w:t xml:space="preserve"> </w:t>
      </w:r>
      <w:r>
        <w:t xml:space="preserve">phytochemicals, and [Alagesan_2025] targeted TetR-family regulators that converge on biofilm and antibiotic-resistance gene clusters. Phenotypic screening approaches — including [Tiwari_2023]'s ion-channel modulators identifying ZINC12496555 with a sub-nanomolar predicted Kd (2.2 × 10⁻⁷ M) and demonstrable styrene-sulphonate and 4-aminopyridine biofilm inhibition — complement these rational efforts but suffer from limited target deconvolution. The CRISPR-Cas-mediated endogenous AbaI suppression described in [Wang_2022_2] provides genetic proof that AbaI is a tractable single-protein target whose pharmacological mimicry should be achievable.</w:t>
      </w:r>
    </w:p>
    <w:p>
      <w:pPr>
        <w:pStyle w:val="BodyText"/>
      </w:pPr>
      <w:r>
        <w:t xml:space="preserve">Lead-optimisation discussions remain absent for most scaffolds; only [Beasley_2025] and [Li_2025] articulate clear go/no-go developability metrics, including solubility, cytotoxicity counterscreens (HepG2 and MCF-7 in [Beasley_2025]), and antibiotic-enhancement triage. Sub-inhibitory imipenem/colistin exposure as a proxy for biofilm-resistance phenotype, characterised in [Shenkutie_2022], offers a phenotypic platform for re-evaluating QSI leads in clinically relevant antibiotic backgrounds. Reviews by [Qvortrup_2019], [Zhong_2021], [Santajit_2022], and [Cui_2025_2] note that no synthetic AbaR antagonist has entered IND-enabling studies, primarily because of (i) cytotoxicity in eukaryotic counterscreens, (ii) limited in vivo PK data, and (iii) the absence of validated</w:t>
      </w:r>
      <w:r>
        <w:t xml:space="preserve"> </w:t>
      </w:r>
      <w:r>
        <w:rPr>
          <w:iCs/>
          <w:i/>
        </w:rPr>
        <w:t xml:space="preserve">A. baumannii</w:t>
      </w:r>
      <w:r>
        <w:t xml:space="preserve">-only reporter strains for SAR refinement outside a few ATCC backgrounds (17978, 19606, AB5075).</w:t>
      </w:r>
    </w:p>
    <w:bookmarkEnd w:id="59"/>
    <w:bookmarkStart w:id="60" w:name="Xd08011c72e29eea980e2cf142be2a617627f9f4"/>
    <w:p>
      <w:pPr>
        <w:pStyle w:val="Heading4"/>
      </w:pPr>
      <w:r>
        <w:t xml:space="preserve">3.4.3 Bacteriophage therapy with QS implications</w:t>
      </w:r>
    </w:p>
    <w:p>
      <w:pPr>
        <w:pStyle w:val="FirstParagraph"/>
      </w:pPr>
      <w:r>
        <w:t xml:space="preserve">Phage therapy is the largest intervention class (n=67) and the most rapidly expanding, with 14 new isolation/characterisation reports published in 2024–2025. Lytic phages exert QS-relevant effects indirectly by collapsing the local cell density required for autoinducer accumulation and directly by dispersing biofilm extracellular polymer through depolymerase activity.</w:t>
      </w:r>
    </w:p>
    <w:p>
      <w:pPr>
        <w:pStyle w:val="BodyText"/>
      </w:pPr>
      <w:r>
        <w:t xml:space="preserve">The 2025 isolates exemplify these complementary modes. Phage vB-AbaM-fThrA [Arazi_2025] (omics, in vitro) is a myovirus with a 70 nm head and 90 nm contractile tail, isolated against CR-MDR</w:t>
      </w:r>
      <w:r>
        <w:t xml:space="preserve"> </w:t>
      </w:r>
      <w:r>
        <w:rPr>
          <w:iCs/>
          <w:i/>
        </w:rPr>
        <w:t xml:space="preserve">A. baumannii</w:t>
      </w:r>
      <w:r>
        <w:t xml:space="preserve"> </w:t>
      </w:r>
      <w:r>
        <w:t xml:space="preserve">and displaying a relatively broad host range with documented anti-biofilm activity. Phage vB_AbaM_AB4P2 [Su_2025] encodes a depolymerase, produces halo-bearing plaques (4 mm clear zone, 10 mm halo) and individually reduces biofilm biomass by 52%, with mature-biofilm ablation reaching 33%. The ΦZC2/ΦZC3 pair [Essam_2025] showed plaque halos diagnostic of polysaccharide depolymerase activity, with ΦZC3 (a myovirus) reducing bacterial burden in co-cultured A549 cells by ~5 log10 over 6 h at varied MOIs without cytotoxicity. Obolenskvirus phage A72 [VeraJauregui_2025] (myovirus morphology; 91 nm head, 124 nm tail) showed sustained lytic activity against MDR isolates albeit a narrow host range.</w:t>
      </w:r>
    </w:p>
    <w:p>
      <w:pPr>
        <w:pStyle w:val="BodyText"/>
      </w:pPr>
      <w:r>
        <w:t xml:space="preserve">Phage cocktails address host-range limitations. [deVilliersdelaNoue_2025] (animal model) rationally combined phages 3014 and 3098 against a burn-patient isolate from Lausanne; the cocktail's calculated virulence VP=0.62 exceeded individual phage performance, and</w:t>
      </w:r>
      <w:r>
        <w:t xml:space="preserve"> </w:t>
      </w:r>
      <w:r>
        <w:rPr>
          <w:iCs/>
          <w:i/>
        </w:rPr>
        <w:t xml:space="preserve">G. mellonella</w:t>
      </w:r>
      <w:r>
        <w:t xml:space="preserve"> </w:t>
      </w:r>
      <w:r>
        <w:t xml:space="preserve">survival rose from 0% (infected control) to substantially higher values (50% and 43.75% for single phages at MOI=100; significantly higher with the cocktail, P&lt;0.001). [Wienhold_2021] (animal model + ex vivo human lung) reduced pulmonary</w:t>
      </w:r>
      <w:r>
        <w:t xml:space="preserve"> </w:t>
      </w:r>
      <w:r>
        <w:rPr>
          <w:iCs/>
          <w:i/>
        </w:rPr>
        <w:t xml:space="preserve">A. baumannii</w:t>
      </w:r>
      <w:r>
        <w:t xml:space="preserve"> </w:t>
      </w:r>
      <w:r>
        <w:t xml:space="preserve">burden by ~1 log10 at 24 h post-infection with single-dose phage therapy in mice. [Li_2024] characterised a Saclayvirus (vB_AbaM_P1) effective in pneumonia prevention. Hydrogel-formulated phages vB_AbaM-SPA and vB_AbaM-SPB [Elshamy_2025] enhanced wound healing and survival in rodents.</w:t>
      </w:r>
    </w:p>
    <w:p>
      <w:pPr>
        <w:pStyle w:val="BodyText"/>
      </w:pPr>
      <w:r>
        <w:t xml:space="preserve">Phage–antibiotic and phage–peptide synergy is well represented and provides the strongest mechanistic case for genuine QS interference: as biofilm density collapses under lytic pressure, the autoinducer concentration falls beneath threshold, re-sensitising surviving planktonic cells to conventional antibiotics. Endolysin-derived peptides PE04-1, PE04-1(NH2), and PE04-2 [Rothong_2024] (animal model) showed MICs of 156–313 µg/mL and &gt;90% inhibition with colistin/citric acid, including PE04-2 at 91.9%. A phage-derived fused endolysin lysAB-vT2-fusion exhibited a five-fold improved MIC (2 mg/mL vs &gt;10 mg/mL parent) and a FIC index of 0.25 in combination with colistin [Sitthisak_2023]. Additional 2022–2024 phages with in vitro anti-biofilm and/or zebrafish,</w:t>
      </w:r>
      <w:r>
        <w:t xml:space="preserve"> </w:t>
      </w:r>
      <w:r>
        <w:rPr>
          <w:iCs/>
          <w:i/>
        </w:rPr>
        <w:t xml:space="preserve">G. mellonella</w:t>
      </w:r>
      <w:r>
        <w:t xml:space="preserve">, or murine activity include [Wintachai_2022] (Phapecoctavirus vABPW7 in A549; head 94.7 ± 8.2 nm), [Mardiana_2023] (vB_AbaM_ABMM1 in zebrafish at MOI 10, head ~94 nm, tail ~118 nm), [Jiang_2024_2] (vB_AbaM-SHI; broad host range with 5–7 mm lysis zones), [Peters_2023] (T4-like DLP1/DLP2 with characteristic 0.5–1 mm clear plaques), [Tan_2024] (vB_AbaM_AB3P2), [Erol_2024] (catheter-biofilm-active C2/K3 cocktail), [Mukhopadhyay_2023], [Mukhopadhyay_2023_2], [Yadav_2022], [Wang_2022_2] (which links endogenous CRISPR-Cas activity to AbaI suppression, an instructive QS–phage interface in which spacer-acquired phage immunity coincides with reduced</w:t>
      </w:r>
      <w:r>
        <w:t xml:space="preserve"> </w:t>
      </w:r>
      <w:r>
        <w:rPr>
          <w:iCs/>
          <w:i/>
        </w:rPr>
        <w:t xml:space="preserve">abaI</w:t>
      </w:r>
      <w:r>
        <w:t xml:space="preserve"> </w:t>
      </w:r>
      <w:r>
        <w:t xml:space="preserve">transcription, weaker biofilm, and decreased efflux-pump activity), [Benyamini_2024], [Cook_2024] (ddrR-mediated coregulation of QS and phage-stress responses), and the engineered/formulated systems in [Yan_2021] and [YuCheng_2025] (spray-dried inhalable powders for pulmonary delivery, with reported Tg ~110 °C for trehalose-rich formulations). [Styles_2020] (clinical investigation) and [Sitthisak_2023] represent the closest approaches to clinical translation within the corpus, though formal trials are not reported. A compassionate-use context is alluded to in [deVilliersdelaNoue_2025] (burn-patient isolate from Lausanne University Hospital) but no controlled outcome data appear in the included studies. Resistance development through capsular polysaccharide diversification, gene transfer of resistance islands [Correa_2024], and natural transformation [Godeux_2022] all represent threats to durable phage efficacy and motivate the cocktail and phage-antibiotic-combination paradigms.</w:t>
      </w:r>
    </w:p>
    <w:bookmarkEnd w:id="60"/>
    <w:bookmarkStart w:id="61" w:name="Xa462f3080789c8923979e6e299eb86c9229b543"/>
    <w:p>
      <w:pPr>
        <w:pStyle w:val="Heading4"/>
      </w:pPr>
      <w:r>
        <w:t xml:space="preserve">3.4.4 Nanoparticle-formulated QSIs</w:t>
      </w:r>
    </w:p>
    <w:p>
      <w:pPr>
        <w:pStyle w:val="FirstParagraph"/>
      </w:pPr>
      <w:r>
        <w:t xml:space="preserve">Twenty-two studies investigated nanocarriers as QS-active agents or as delivery vehicles. The clearest single-study advance is [Nosair_2025] (animal model), in which staphyloxanthin-loaded niosomal nanovesicles (177.8 nm, 92.7% entrapment, 39.6% slow release) attained MIC values up to 16 µg/mL against MDR isolates, reduced biofilm by 68–88%, motility by 66.7–94.5%, siderophore production by 48.8–79.5%, and disrupted mature biofilm by 82%. Silver nanoparticles (AgNP, 10–50 nm spherical) demonstrated MICs of 4–25 µg/mL with significant anti-biofilm and anti-virulence activity in [Hetta_2021] (animal model). Hypericin nanoparticles co-formulated with D-tryptophan (HypNP@D-Trp) and activated by photo-sonodynamic therapy achieved synergistic FIC=0.5 against</w:t>
      </w:r>
      <w:r>
        <w:t xml:space="preserve"> </w:t>
      </w:r>
      <w:r>
        <w:rPr>
          <w:iCs/>
          <w:i/>
        </w:rPr>
        <w:t xml:space="preserve">A. baumannii</w:t>
      </w:r>
      <w:r>
        <w:t xml:space="preserve"> </w:t>
      </w:r>
      <w:r>
        <w:t xml:space="preserve">in [Pourhajibagher_2023] (clinical isolates). Au@MSN core–shell systems with vanillic acid payloads achieved photothermal heating to 60 °C in 12 s under 808 nm irradiation [Maisch_2022].</w:t>
      </w:r>
    </w:p>
    <w:p>
      <w:pPr>
        <w:pStyle w:val="BodyText"/>
      </w:pPr>
      <w:r>
        <w:t xml:space="preserve">Beyond these, polymeric and lipid carriers are documented in [Siddique_2022], chitosan or polymer-stabilised AgNP in [Wintachai_2022], silver/curcumin platforms in [Pourhajibagher_2022], and curcumin nanoplatforms in [Bhowmik_2023] and [Natsheh_2023]. Reviews by [Ghosh_2022], [Rajapaksha_2023], and [Hetta_2025] situate nanoparticle-based QSI delivery in the broader anti-virulence pipeline.</w:t>
      </w:r>
    </w:p>
    <w:p>
      <w:pPr>
        <w:pStyle w:val="BodyText"/>
      </w:pPr>
      <w:r>
        <w:t xml:space="preserve">Encapsulation rationale rests on three pillars: (i) improved penetration through biofilm extracellular polymeric substance enabled by sub-200 nm particle size and surface charge engineering, (ii) sustained release at the infection site to maintain sub-MIC QSI exposure across multiple bacterial generations, and (iii) protection of labile cargo (essential-oil terpenoids, AHL mimics, photosensitisers) from premature enzymatic or oxidative degradation. The niosome design in [Nosair_2025] illustrates points (i)–(iii) simultaneously: a 177.8 nm spherical vesicle with 92.7% entrapment efficiency provided a 39.6% release profile over the assay window and produced biofilm reductions (68–88%) that exceeded those typically reported for free natural-product cargo. The photosonodynamic activation paradigm in [Pourhajibagher_2023] adds an external trigger, enabling spatial and temporal control of QSI release in catheter and wound contexts. Translation barriers include nanoparticle protein corona formation in physiological matrices, batch-to-batch reproducibility of size and entrapment, regulatory pathways for combination products containing both carrier and active QSI, the lack of long-term toxicology/clearance data, and a near-universal absence of pharmacokinetic/biodistribution evidence: only [Nosair_2025] and [Hetta_2021] provided in vivo efficacy in this corpus, and neither reported full PK/biodistribution profiles.</w:t>
      </w:r>
    </w:p>
    <w:bookmarkEnd w:id="61"/>
    <w:bookmarkStart w:id="62" w:name="X575b0c276c74f116b3e077c076ab0d3c9d69685"/>
    <w:p>
      <w:pPr>
        <w:pStyle w:val="Heading4"/>
      </w:pPr>
      <w:r>
        <w:t xml:space="preserve">3.4.5 Antimicrobial peptides and quorum-quenching enzymes</w:t>
      </w:r>
    </w:p>
    <w:p>
      <w:pPr>
        <w:pStyle w:val="FirstParagraph"/>
      </w:pPr>
      <w:r>
        <w:t xml:space="preserve">Of 31 peptide and 30 QQ-enzyme studies, the majority remain at the in vitro stage, with ~8 advancing to invertebrate or rodent models. Endolysin-encoded peptides PE04-1, PE04-1(NH2), and PE04-2 [Rothong_2024] act on the outer membrane and biofilm matrix, with MICs of 156–313 µg/mL and strong colistin synergy. Octopromycin, an octopus-derived AMP, displayed MIC 50 µg/mL and MBC 200 µg/mL with collapse of biofilm architecture at sub-MIC concentrations and concomitant down-regulation of QS genes [Rajapaksha_2023] (in vitro). X33 antimicrobial oligopeptide showed MIC 78.13 µg/mL and reduced biofilm formation by 23–30% at MIC fractions [Lu_2024] (omics, in vitro). The CavA-mediated cAMP–QS interface explored in [Harkova_2024] (animal model) highlights peptide-druggable second-messenger nodes.</w:t>
      </w:r>
    </w:p>
    <w:p>
      <w:pPr>
        <w:pStyle w:val="BodyText"/>
      </w:pPr>
      <w:r>
        <w:t xml:space="preserve">QQ enzymes principally target the AHL signal, either by cleaving the homoserine lactone ring (lactonases) or by hydrolysing the amide bond linking the acyl chain to the homoserine moiety (acylases). The acylase PvdQ from</w:t>
      </w:r>
      <w:r>
        <w:t xml:space="preserve"> </w:t>
      </w:r>
      <w:r>
        <w:rPr>
          <w:iCs/>
          <w:i/>
        </w:rPr>
        <w:t xml:space="preserve">Pseudomonas aeruginosa</w:t>
      </w:r>
      <w:r>
        <w:t xml:space="preserve"> </w:t>
      </w:r>
      <w:r>
        <w:t xml:space="preserve">reduced</w:t>
      </w:r>
      <w:r>
        <w:t xml:space="preserve"> </w:t>
      </w:r>
      <w:r>
        <w:rPr>
          <w:iCs/>
          <w:i/>
        </w:rPr>
        <w:t xml:space="preserve">A. baumannii</w:t>
      </w:r>
      <w:r>
        <w:t xml:space="preserve"> </w:t>
      </w:r>
      <w:r>
        <w:t xml:space="preserve">biofilm formation in [Vogel_2022] (animal model) and was the first heterologous Ntn-hydrolase shown to be cross-active on the</w:t>
      </w:r>
      <w:r>
        <w:t xml:space="preserve"> </w:t>
      </w:r>
      <w:r>
        <w:rPr>
          <w:iCs/>
          <w:i/>
        </w:rPr>
        <w:t xml:space="preserve">A. baumannii</w:t>
      </w:r>
      <w:r>
        <w:t xml:space="preserve"> </w:t>
      </w:r>
      <w:r>
        <w:t xml:space="preserve">3-OH-C12-HSL ligand. The lactonase MomL, at ≥1 µg/mL, degraded essentially all 3-OH-C12-HSL (10 µM) in vitro and increased antibiotic susceptibility of biofilms, with concomitant caveats raised about Pseudomonas/Acinetobacter assay artefacts including the up to ~40% baseline biofilm-formation difference between</w:t>
      </w:r>
      <w:r>
        <w:t xml:space="preserve"> </w:t>
      </w:r>
      <w:r>
        <w:rPr>
          <w:iCs/>
          <w:i/>
        </w:rPr>
        <w:t xml:space="preserve">abaI</w:t>
      </w:r>
      <w:r>
        <w:t xml:space="preserve"> </w:t>
      </w:r>
      <w:r>
        <w:t xml:space="preserve">mutant and wildtype strains [Zhang_2017]. AaL is an AHL lactonase with unusually low KM (10–80 µM) relative to AiiA (~1 mM), supporting in vivo relevance at physiological signal concentrations [Bergonzi_2018]. Aii20J QQ enzyme (20 µg/mL) was active against</w:t>
      </w:r>
      <w:r>
        <w:t xml:space="preserve"> </w:t>
      </w:r>
      <w:r>
        <w:rPr>
          <w:iCs/>
          <w:i/>
        </w:rPr>
        <w:t xml:space="preserve">A. baumannii</w:t>
      </w:r>
      <w:r>
        <w:t xml:space="preserve"> </w:t>
      </w:r>
      <w:r>
        <w:t xml:space="preserve">ATCC 17978 motility and biofilm phenotypes in [Mayer_2020], with the suggestion that DNase co-treatment further potentiates anti-biofilm effects. The endogenous α/β-hydrolase AidA functions as a</w:t>
      </w:r>
      <w:r>
        <w:t xml:space="preserve"> </w:t>
      </w:r>
      <w:r>
        <w:rPr>
          <w:iCs/>
          <w:i/>
        </w:rPr>
        <w:t xml:space="preserve">bona fide</w:t>
      </w:r>
      <w:r>
        <w:t xml:space="preserve"> </w:t>
      </w:r>
      <w:r>
        <w:t xml:space="preserve">QQ enzyme in clinical</w:t>
      </w:r>
      <w:r>
        <w:t xml:space="preserve"> </w:t>
      </w:r>
      <w:r>
        <w:rPr>
          <w:iCs/>
          <w:i/>
        </w:rPr>
        <w:t xml:space="preserve">A. baumannii</w:t>
      </w:r>
      <w:r>
        <w:t xml:space="preserve"> </w:t>
      </w:r>
      <w:r>
        <w:t xml:space="preserve">isolates and is itself redox-regulated, decreasing under H₂O₂ exposure with reciprocal up-regulation of</w:t>
      </w:r>
      <w:r>
        <w:t xml:space="preserve"> </w:t>
      </w:r>
      <w:r>
        <w:rPr>
          <w:iCs/>
          <w:i/>
        </w:rPr>
        <w:t xml:space="preserve">abaI</w:t>
      </w:r>
      <w:r>
        <w:t xml:space="preserve"> </w:t>
      </w:r>
      <w:r>
        <w:t xml:space="preserve">[Lpez_2017_2]. Engineered SsoPox A variants reduced</w:t>
      </w:r>
      <w:r>
        <w:t xml:space="preserve"> </w:t>
      </w:r>
      <w:r>
        <w:rPr>
          <w:iCs/>
          <w:i/>
        </w:rPr>
        <w:t xml:space="preserve">P. aeruginosa</w:t>
      </w:r>
      <w:r>
        <w:t xml:space="preserve"> </w:t>
      </w:r>
      <w:r>
        <w:t xml:space="preserve">macrophage cytotoxicity from 80% to 20% and provided cross-species AHL hydrolysis confirming the protein-engineering tractability of the phosphotriesterase/lactonase fold [Gonzales_2024]. Light-modulated regulation of AbaI (38-fold dark vs light) [Tuttobene_2021] and host-derived signals (HSA, whole blood) [Escalante_2022], [Ghavanloughajar_2025] reveal QQ-relevant physiological levers that may inform formulation choices for catheter-associated infections. Reviews by [Rodgers_2021], [Rajapaksha_2023], [Sorenson_2025], [Santajit_2022], [Zhong_2021], and [Cui_2025_2] inventory peptide and QQ-enzyme candidates and discuss immobilisation strategies on catheter/implant surfaces — a particularly attractive engineering route because surface-tethered QQ activity can be maintained without systemic enzyme exposure, mitigating immunogenicity concerns. The cAMP/CavA axis described in [Harkova_2024] (animal model) provides an additional regulatory entry point: peptide or small-molecule inhibition of CavA decreases biofilm while increasing motility, a phenotype that may need to be balanced against tissue dissemination risk.</w:t>
      </w:r>
    </w:p>
    <w:bookmarkEnd w:id="62"/>
    <w:bookmarkStart w:id="63" w:name="Xe82eb1ff4f92684090e4fddb05de40d6048f1f7"/>
    <w:p>
      <w:pPr>
        <w:pStyle w:val="Heading4"/>
      </w:pPr>
      <w:r>
        <w:t xml:space="preserve">3.4.6 Drug repurposing</w:t>
      </w:r>
    </w:p>
    <w:p>
      <w:pPr>
        <w:pStyle w:val="FirstParagraph"/>
      </w:pPr>
      <w:r>
        <w:t xml:space="preserve">Fourteen repurposing studies target</w:t>
      </w:r>
      <w:r>
        <w:t xml:space="preserve"> </w:t>
      </w:r>
      <w:r>
        <w:rPr>
          <w:iCs/>
          <w:i/>
        </w:rPr>
        <w:t xml:space="preserve">A. baumannii</w:t>
      </w:r>
      <w:r>
        <w:t xml:space="preserve"> </w:t>
      </w:r>
      <w:r>
        <w:t xml:space="preserve">QS using approved pharmacopoeia. Nitroimidazoles (a class including metronidazole/secnidazole derivatives) were repositioned by [Khafagy_2025] (animal model) using a combined in silico, in vitro, and in vivo workflow; they suppressed biofilm and virulence in MDR</w:t>
      </w:r>
      <w:r>
        <w:t xml:space="preserve"> </w:t>
      </w:r>
      <w:r>
        <w:rPr>
          <w:iCs/>
          <w:i/>
        </w:rPr>
        <w:t xml:space="preserve">A. baumannii</w:t>
      </w:r>
      <w:r>
        <w:t xml:space="preserve"> </w:t>
      </w:r>
      <w:r>
        <w:t xml:space="preserve">with preserved pharmacokinetic advantages over de novo chemical matter and exploit a clinically established safety record. [Beasley_2025] identified piperacillin combined with ketoprofen, indomethacin, and piroxicam (NSAID class) as the broadest QS-enhanced antibacterial mixture in their screen, and levamisole — an anthelmintic with documented immunomodulatory and now QS-inhibitory activity — as a single-agent QSI achieving &gt;50% biofilm reduction in 85% of</w:t>
      </w:r>
      <w:r>
        <w:t xml:space="preserve"> </w:t>
      </w:r>
      <w:r>
        <w:rPr>
          <w:iCs/>
          <w:i/>
        </w:rPr>
        <w:t xml:space="preserve">A. baumannii</w:t>
      </w:r>
      <w:r>
        <w:t xml:space="preserve"> </w:t>
      </w:r>
      <w:r>
        <w:t xml:space="preserve">strains at 1/8 MIC. [Seleem_2020] (animal model) reported MICs of 0.5, 256, 128, 2048, and 10,000 µg/mL respectively for azithromycin, erythromycin, propranolol, levamisole and chloroquine, with sub-MIC QSI activity against</w:t>
      </w:r>
      <w:r>
        <w:t xml:space="preserve"> </w:t>
      </w:r>
      <w:r>
        <w:rPr>
          <w:iCs/>
          <w:i/>
        </w:rPr>
        <w:t xml:space="preserve">A. baumannii</w:t>
      </w:r>
      <w:r>
        <w:t xml:space="preserve"> </w:t>
      </w:r>
      <w:r>
        <w:t xml:space="preserve">and</w:t>
      </w:r>
      <w:r>
        <w:t xml:space="preserve"> </w:t>
      </w:r>
      <w:r>
        <w:rPr>
          <w:iCs/>
          <w:i/>
        </w:rPr>
        <w:t xml:space="preserve">P. aeruginosa</w:t>
      </w:r>
      <w:r>
        <w:t xml:space="preserve"> </w:t>
      </w:r>
      <w:r>
        <w:t xml:space="preserve">virulence factors including pigment production and motility. Statin and NSAID repurposing — explicitly framed as low-dose QS modulation rather than antibacterial pressure, so as to minimise the selection of resistant subpopulations — is reviewed by [Zhong_2021] and [Panda_2022]. [Jha_2022] explored aspirin-related scaffolds, and [Zore_2022] catalogued additional FDA-approved drugs with off-target QS activity. The accelerated translational appeal is well documented: PK/PD parameters are largely known, safety margins are established at clinically used doses, and combination regimens with last-line antibiotics (colistin, tigecycline, sulbactam/durlobactam) offer a near-term path to clinical trial under existing regulatory pathways for combination therapy. [Correa_2024] and [Tiwari_2023] respectively contextualise the resistance-island and biofilm-electrochemistry rationale for repurposing screens, while [Bhowmik_2023] frames odilorhabdin-like signal-mimetic repurposing for Gram-negative coverage.</w:t>
      </w:r>
    </w:p>
    <w:bookmarkEnd w:id="63"/>
    <w:bookmarkStart w:id="64" w:name="X0e12650cab715aba905362bb755f5fd380e9006"/>
    <w:p>
      <w:pPr>
        <w:pStyle w:val="Heading4"/>
      </w:pPr>
      <w:r>
        <w:t xml:space="preserve">3.4.7 Vaccines and antibody-based approaches</w:t>
      </w:r>
    </w:p>
    <w:p>
      <w:pPr>
        <w:pStyle w:val="FirstParagraph"/>
      </w:pPr>
      <w:r>
        <w:t xml:space="preserve">Eleven studies addressed immunological strategies. The principal targets are outer membrane vesicle (OMV) preparations, AbaI/AbaR-derived antigens, and broader virulence-factor-based subunit vaccines, several of which are themselves QS-regulated and therefore co-attenuated when QS is pharmacologically suppressed. [Rajangam_2024] (review) summarises monoclonal antibody, OMV, and capsular polysaccharide candidates; [Mendes_2023] and [Roy_2022] (reviews) collate AbOmpA, Bap, and BfmRS as antigen sources whose expression is QS-regulated and whose surface display correlates with biofilm-mode persistence. [Hetta_2025] (ESKAPE-wide review) catalogues current preclinical vaccine candidates and notes the absence of any</w:t>
      </w:r>
      <w:r>
        <w:t xml:space="preserve"> </w:t>
      </w:r>
      <w:r>
        <w:rPr>
          <w:iCs/>
          <w:i/>
        </w:rPr>
        <w:t xml:space="preserve">A. baumannii</w:t>
      </w:r>
      <w:r>
        <w:t xml:space="preserve">-specific licensed immunisation product. [Lazar_2021], [Panda_2022], and [Venkateswaran_2023] further enumerate antibody-based blockade of QS signal reception, including conjugate constructs targeting the 3-OH-C12-HSL ligand itself. [Ghavanloughajar_2025] (animal model) provides relevant whole-blood-induction data — siderophore,</w:t>
      </w:r>
      <w:r>
        <w:t xml:space="preserve"> </w:t>
      </w:r>
      <w:r>
        <w:rPr>
          <w:iCs/>
          <w:i/>
        </w:rPr>
        <w:t xml:space="preserve">abaI</w:t>
      </w:r>
      <w:r>
        <w:t xml:space="preserve">, and</w:t>
      </w:r>
      <w:r>
        <w:t xml:space="preserve"> </w:t>
      </w:r>
      <w:r>
        <w:rPr>
          <w:iCs/>
          <w:i/>
        </w:rPr>
        <w:t xml:space="preserve">csu</w:t>
      </w:r>
      <w:r>
        <w:t xml:space="preserve">-operon up-regulation under host exposure — informing vaccine antigen prioritisation under physiologically relevant induction. No randomised clinical immunisation data against</w:t>
      </w:r>
      <w:r>
        <w:t xml:space="preserve"> </w:t>
      </w:r>
      <w:r>
        <w:rPr>
          <w:iCs/>
          <w:i/>
        </w:rPr>
        <w:t xml:space="preserve">A. baumannii</w:t>
      </w:r>
      <w:r>
        <w:t xml:space="preserve"> </w:t>
      </w:r>
      <w:r>
        <w:t xml:space="preserve">QS targets appear in the included corpus, and the field remains predominantly preclinical, with OMV vaccines the furthest advanced and active-AbaR-blocking antibody programmes still at the discovery stage.</w:t>
      </w:r>
    </w:p>
    <w:bookmarkEnd w:id="64"/>
    <w:bookmarkStart w:id="65" w:name="cross-class-synthesis"/>
    <w:p>
      <w:pPr>
        <w:pStyle w:val="Heading4"/>
      </w:pPr>
      <w:r>
        <w:t xml:space="preserve">Cross-class synthesis</w:t>
      </w:r>
    </w:p>
    <w:p>
      <w:pPr>
        <w:pStyle w:val="FirstParagraph"/>
      </w:pPr>
      <w:r>
        <w:t xml:space="preserve">Comparing the seven classes against a common framework — mechanism, quantitative effect size, study type, and translational depth — three patterns emerge. First, animal-model evidence is most concentrated in the phage (vB-AbaM-fThrA, ΦZC3, fThrA, 3014/3098, vB_AbaM_P1, vB_AbaM-SPA/B, DLP1/2, ABMM1, vABPW7), QQ-enzyme (PvdQ, MomL, AaL, Aii20J), and nanoparticle (staphyloxanthin–niosome, AgNP, HypNP@D-Trp) subspaces, while natural-product and synthetic-compound classes show a heavier in vitro/in silico tail and a smaller animal-validated subset (carnosol,</w:t>
      </w:r>
      <w:r>
        <w:t xml:space="preserve"> </w:t>
      </w:r>
      <w:r>
        <w:rPr>
          <w:iCs/>
          <w:i/>
        </w:rPr>
        <w:t xml:space="preserve">Paederia foetida</w:t>
      </w:r>
      <w:r>
        <w:t xml:space="preserve">, 7-hydroxyindole, levamisole, nitroimidazoles). Second, reported effect sizes cluster tightly around 50–90% biofilm inhibition at sub-MIC concentrations across diverse chemotypes and biological agents, suggesting either a genuine ceiling effect imposed by biofilm architecture or methodological convergence on biofilm-staining endpoints rather than functional persistence readouts. Third, the single most consistent translational gap is the absence of</w:t>
      </w:r>
      <w:r>
        <w:t xml:space="preserve"> </w:t>
      </w:r>
      <w:r>
        <w:rPr>
          <w:iCs/>
          <w:i/>
        </w:rPr>
        <w:t xml:space="preserve">A. baumannii</w:t>
      </w:r>
      <w:r>
        <w:t xml:space="preserve">-specific QS pharmacodynamic biomarkers and the heterogeneity of biofilm-readout assays; resistance-development data under repeated sub-MIC QSI exposure are reported in only a handful of studies, despite the central premise of anti-virulence therapy being a lower selective pressure for resistance evolution. We return to these methodological limitations in Section 4, and to the network-pharmacology and combination-therapy implications in Section 5.</w:t>
      </w:r>
    </w:p>
    <w:bookmarkEnd w:id="65"/>
    <w:bookmarkEnd w:id="66"/>
    <w:bookmarkStart w:id="67" w:name="table-2--qsiqq-intervention-classes"/>
    <w:p>
      <w:pPr>
        <w:pStyle w:val="Heading3"/>
      </w:pPr>
      <w:r>
        <w:t xml:space="preserve">Table 2 — QSI/QQ Intervention Classes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right"/>
            </w:pPr>
            <w:r>
              <w:t xml:space="preserve">n</w:t>
            </w:r>
          </w:p>
        </w:tc>
        <w:tc>
          <w:tcPr/>
          <w:p>
            <w:pPr>
              <w:pStyle w:val="Compact"/>
              <w:jc w:val="right"/>
            </w:pPr>
            <w:r>
              <w:t xml:space="preserve">%</w:t>
            </w:r>
          </w:p>
        </w:tc>
        <w:tc>
          <w:tcPr/>
          <w:p>
            <w:pPr>
              <w:pStyle w:val="Compact"/>
              <w:jc w:val="left"/>
            </w:pPr>
            <w:r>
              <w:t xml:space="preserve">Representative agents (selected examples from corpus)</w:t>
            </w:r>
          </w:p>
        </w:tc>
      </w:tr>
      <w:tr>
        <w:tc>
          <w:tcPr/>
          <w:p>
            <w:pPr>
              <w:pStyle w:val="Compact"/>
              <w:jc w:val="left"/>
            </w:pPr>
            <w:r>
              <w:t xml:space="preserve">Phage</w:t>
            </w:r>
          </w:p>
        </w:tc>
        <w:tc>
          <w:tcPr/>
          <w:p>
            <w:pPr>
              <w:pStyle w:val="Compact"/>
              <w:jc w:val="right"/>
            </w:pPr>
            <w:r>
              <w:t xml:space="preserve">67</w:t>
            </w:r>
          </w:p>
        </w:tc>
        <w:tc>
          <w:tcPr/>
          <w:p>
            <w:pPr>
              <w:pStyle w:val="Compact"/>
              <w:jc w:val="right"/>
            </w:pPr>
            <w:r>
              <w:t xml:space="preserve">19.7%</w:t>
            </w:r>
          </w:p>
        </w:tc>
        <w:tc>
          <w:tcPr/>
          <w:p>
            <w:pPr>
              <w:pStyle w:val="Compact"/>
              <w:jc w:val="left"/>
            </w:pPr>
            <w:r>
              <w:t xml:space="preserve">vB-AbaM-fThrA, ΦZC2/ΦZC3, AB4P2, phage cocktails [68,69,70]</w:t>
            </w:r>
          </w:p>
        </w:tc>
      </w:tr>
      <w:tr>
        <w:tc>
          <w:tcPr/>
          <w:p>
            <w:pPr>
              <w:pStyle w:val="Compact"/>
              <w:jc w:val="left"/>
            </w:pPr>
            <w:r>
              <w:t xml:space="preserve">Natural Product</w:t>
            </w:r>
          </w:p>
        </w:tc>
        <w:tc>
          <w:tcPr/>
          <w:p>
            <w:pPr>
              <w:pStyle w:val="Compact"/>
              <w:jc w:val="right"/>
            </w:pPr>
            <w:r>
              <w:t xml:space="preserve">52</w:t>
            </w:r>
          </w:p>
        </w:tc>
        <w:tc>
          <w:tcPr/>
          <w:p>
            <w:pPr>
              <w:pStyle w:val="Compact"/>
              <w:jc w:val="right"/>
            </w:pPr>
            <w:r>
              <w:t xml:space="preserve">15.3%</w:t>
            </w:r>
          </w:p>
        </w:tc>
        <w:tc>
          <w:tcPr/>
          <w:p>
            <w:pPr>
              <w:pStyle w:val="Compact"/>
              <w:jc w:val="left"/>
            </w:pPr>
            <w:r>
              <w:t xml:space="preserve">Carnosol [17], berberine [71], carvacrol/thymol, curcumin, essential oils (</w:t>
            </w:r>
            <w:r>
              <w:rPr>
                <w:iCs/>
                <w:i/>
              </w:rPr>
              <w:t xml:space="preserve">Salvia</w:t>
            </w:r>
            <w:r>
              <w:t xml:space="preserve">,</w:t>
            </w:r>
            <w:r>
              <w:t xml:space="preserve"> </w:t>
            </w:r>
            <w:r>
              <w:rPr>
                <w:iCs/>
                <w:i/>
              </w:rPr>
              <w:t xml:space="preserve">Mentha</w:t>
            </w:r>
            <w:r>
              <w:t xml:space="preserve">,</w:t>
            </w:r>
            <w:r>
              <w:t xml:space="preserve"> </w:t>
            </w:r>
            <w:r>
              <w:rPr>
                <w:iCs/>
                <w:i/>
              </w:rPr>
              <w:t xml:space="preserve">Paederia</w:t>
            </w:r>
            <w:r>
              <w:t xml:space="preserve">), garlic-derived compounds</w:t>
            </w:r>
          </w:p>
        </w:tc>
      </w:tr>
      <w:tr>
        <w:tc>
          <w:tcPr/>
          <w:p>
            <w:pPr>
              <w:pStyle w:val="Compact"/>
              <w:jc w:val="left"/>
            </w:pPr>
            <w:r>
              <w:t xml:space="preserve">Peptide</w:t>
            </w:r>
          </w:p>
        </w:tc>
        <w:tc>
          <w:tcPr/>
          <w:p>
            <w:pPr>
              <w:pStyle w:val="Compact"/>
              <w:jc w:val="right"/>
            </w:pPr>
            <w:r>
              <w:t xml:space="preserve">31</w:t>
            </w:r>
          </w:p>
        </w:tc>
        <w:tc>
          <w:tcPr/>
          <w:p>
            <w:pPr>
              <w:pStyle w:val="Compact"/>
              <w:jc w:val="right"/>
            </w:pPr>
            <w:r>
              <w:t xml:space="preserve">9.1%</w:t>
            </w:r>
          </w:p>
        </w:tc>
        <w:tc>
          <w:tcPr/>
          <w:p>
            <w:pPr>
              <w:pStyle w:val="Compact"/>
              <w:jc w:val="left"/>
            </w:pPr>
            <w:r>
              <w:t xml:space="preserve">Defensin analogues, designed antimicrobial peptides targeting OMV biogenesis</w:t>
            </w:r>
          </w:p>
        </w:tc>
      </w:tr>
      <w:tr>
        <w:tc>
          <w:tcPr/>
          <w:p>
            <w:pPr>
              <w:pStyle w:val="Compact"/>
              <w:jc w:val="left"/>
            </w:pPr>
            <w:r>
              <w:t xml:space="preserve">Enzyme Qq</w:t>
            </w:r>
          </w:p>
        </w:tc>
        <w:tc>
          <w:tcPr/>
          <w:p>
            <w:pPr>
              <w:pStyle w:val="Compact"/>
              <w:jc w:val="right"/>
            </w:pPr>
            <w:r>
              <w:t xml:space="preserve">30</w:t>
            </w:r>
          </w:p>
        </w:tc>
        <w:tc>
          <w:tcPr/>
          <w:p>
            <w:pPr>
              <w:pStyle w:val="Compact"/>
              <w:jc w:val="right"/>
            </w:pPr>
            <w:r>
              <w:t xml:space="preserve">8.8%</w:t>
            </w:r>
          </w:p>
        </w:tc>
        <w:tc>
          <w:tcPr/>
          <w:p>
            <w:pPr>
              <w:pStyle w:val="Compact"/>
              <w:jc w:val="left"/>
            </w:pPr>
            <w:r>
              <w:t xml:space="preserve">AHL lactonases (AiiA family), AHL acylases, immobilised lactonase coatings</w:t>
            </w:r>
          </w:p>
        </w:tc>
      </w:tr>
      <w:tr>
        <w:tc>
          <w:tcPr/>
          <w:p>
            <w:pPr>
              <w:pStyle w:val="Compact"/>
              <w:jc w:val="left"/>
            </w:pPr>
            <w:r>
              <w:t xml:space="preserve">Nanoparticle</w:t>
            </w:r>
          </w:p>
        </w:tc>
        <w:tc>
          <w:tcPr/>
          <w:p>
            <w:pPr>
              <w:pStyle w:val="Compact"/>
              <w:jc w:val="right"/>
            </w:pPr>
            <w:r>
              <w:t xml:space="preserve">22</w:t>
            </w:r>
          </w:p>
        </w:tc>
        <w:tc>
          <w:tcPr/>
          <w:p>
            <w:pPr>
              <w:pStyle w:val="Compact"/>
              <w:jc w:val="right"/>
            </w:pPr>
            <w:r>
              <w:t xml:space="preserve">6.5%</w:t>
            </w:r>
          </w:p>
        </w:tc>
        <w:tc>
          <w:tcPr/>
          <w:p>
            <w:pPr>
              <w:pStyle w:val="Compact"/>
              <w:jc w:val="left"/>
            </w:pPr>
            <w:r>
              <w:t xml:space="preserve">AgNP-loaded liposomes, niosomes (staphyloxanthin-encapsulated), ZnO-NPs, polymer nanocarriers</w:t>
            </w:r>
          </w:p>
        </w:tc>
      </w:tr>
      <w:tr>
        <w:tc>
          <w:tcPr/>
          <w:p>
            <w:pPr>
              <w:pStyle w:val="Compact"/>
              <w:jc w:val="left"/>
            </w:pPr>
            <w:r>
              <w:t xml:space="preserve">Synthetic Compound</w:t>
            </w:r>
          </w:p>
        </w:tc>
        <w:tc>
          <w:tcPr/>
          <w:p>
            <w:pPr>
              <w:pStyle w:val="Compact"/>
              <w:jc w:val="right"/>
            </w:pPr>
            <w:r>
              <w:t xml:space="preserve">20</w:t>
            </w:r>
          </w:p>
        </w:tc>
        <w:tc>
          <w:tcPr/>
          <w:p>
            <w:pPr>
              <w:pStyle w:val="Compact"/>
              <w:jc w:val="right"/>
            </w:pPr>
            <w:r>
              <w:t xml:space="preserve">5.9%</w:t>
            </w:r>
          </w:p>
        </w:tc>
        <w:tc>
          <w:tcPr/>
          <w:p>
            <w:pPr>
              <w:pStyle w:val="Compact"/>
              <w:jc w:val="left"/>
            </w:pPr>
            <w:r>
              <w:t xml:space="preserve">Quinazoline derivatives, halogenated furanones, nitroimidazole repurposed analogs, BfmR/AbaR-targeted small molecules [16]</w:t>
            </w:r>
          </w:p>
        </w:tc>
      </w:tr>
      <w:tr>
        <w:tc>
          <w:tcPr/>
          <w:p>
            <w:pPr>
              <w:pStyle w:val="Compact"/>
              <w:jc w:val="left"/>
            </w:pPr>
            <w:r>
              <w:t xml:space="preserve">Repurposed Drug</w:t>
            </w:r>
          </w:p>
        </w:tc>
        <w:tc>
          <w:tcPr/>
          <w:p>
            <w:pPr>
              <w:pStyle w:val="Compact"/>
              <w:jc w:val="right"/>
            </w:pPr>
            <w:r>
              <w:t xml:space="preserve">14</w:t>
            </w:r>
          </w:p>
        </w:tc>
        <w:tc>
          <w:tcPr/>
          <w:p>
            <w:pPr>
              <w:pStyle w:val="Compact"/>
              <w:jc w:val="right"/>
            </w:pPr>
            <w:r>
              <w:t xml:space="preserve">4.1%</w:t>
            </w:r>
          </w:p>
        </w:tc>
        <w:tc>
          <w:tcPr/>
          <w:p>
            <w:pPr>
              <w:pStyle w:val="Compact"/>
              <w:jc w:val="left"/>
            </w:pPr>
            <w:r>
              <w:t xml:space="preserve">Nitroimidazoles [72], indole derivatives [62], statins, NSAIDs</w:t>
            </w:r>
          </w:p>
        </w:tc>
      </w:tr>
      <w:tr>
        <w:tc>
          <w:tcPr/>
          <w:p>
            <w:pPr>
              <w:pStyle w:val="Compact"/>
              <w:jc w:val="left"/>
            </w:pPr>
            <w:r>
              <w:t xml:space="preserve">Antibody Vaccine</w:t>
            </w:r>
          </w:p>
        </w:tc>
        <w:tc>
          <w:tcPr/>
          <w:p>
            <w:pPr>
              <w:pStyle w:val="Compact"/>
              <w:jc w:val="right"/>
            </w:pPr>
            <w:r>
              <w:t xml:space="preserve">11</w:t>
            </w:r>
          </w:p>
        </w:tc>
        <w:tc>
          <w:tcPr/>
          <w:p>
            <w:pPr>
              <w:pStyle w:val="Compact"/>
              <w:jc w:val="right"/>
            </w:pPr>
            <w:r>
              <w:t xml:space="preserve">3.2%</w:t>
            </w:r>
          </w:p>
        </w:tc>
        <w:tc>
          <w:tcPr/>
          <w:p>
            <w:pPr>
              <w:pStyle w:val="Compact"/>
              <w:jc w:val="left"/>
            </w:pPr>
            <w:r>
              <w:t xml:space="preserve">Monoclonal anti-AbaI/AbaR antibodies, OMV-based vaccine candidates</w:t>
            </w:r>
          </w:p>
        </w:tc>
      </w:tr>
    </w:tbl>
    <w:bookmarkEnd w:id="67"/>
    <w:bookmarkStart w:id="73" w:name="X38fe265754983d74b0270965324196e36304c54"/>
    <w:p>
      <w:pPr>
        <w:pStyle w:val="Heading3"/>
      </w:pPr>
      <w:r>
        <w:t xml:space="preserve">3.5 In Vivo and Preclinical Evidence</w:t>
      </w:r>
    </w:p>
    <w:bookmarkStart w:id="68" w:name="X5cef47035efc1c40c0bcc8f8d628328725f8d36"/>
    <w:p>
      <w:pPr>
        <w:pStyle w:val="Heading4"/>
      </w:pPr>
      <w:r>
        <w:t xml:space="preserve">3.5.1 Invertebrate models — Galleria mellonella, Caenorhabditis elegans and zebrafish</w:t>
      </w:r>
    </w:p>
    <w:p>
      <w:pPr>
        <w:pStyle w:val="FirstParagraph"/>
      </w:pPr>
      <w:r>
        <w:t xml:space="preserve">Invertebrate hosts have dominated the preclinical pipeline for</w:t>
      </w:r>
      <w:r>
        <w:t xml:space="preserve"> </w:t>
      </w:r>
      <w:r>
        <w:rPr>
          <w:iCs/>
          <w:i/>
        </w:rPr>
        <w:t xml:space="preserve">A. baumannii</w:t>
      </w:r>
      <w:r>
        <w:t xml:space="preserve"> </w:t>
      </w:r>
      <w:r>
        <w:t xml:space="preserve">quorum sensing (QS) research because they require no formal ethics approval, accept defined inocula, and tolerate a high-throughput design. The foundational study by Peleg and colleagues established</w:t>
      </w:r>
      <w:r>
        <w:t xml:space="preserve"> </w:t>
      </w:r>
      <w:r>
        <w:rPr>
          <w:iCs/>
          <w:i/>
        </w:rPr>
        <w:t xml:space="preserve">Galleria mellonella</w:t>
      </w:r>
      <w:r>
        <w:t xml:space="preserve"> </w:t>
      </w:r>
      <w:r>
        <w:t xml:space="preserve">as a tractable model for</w:t>
      </w:r>
      <w:r>
        <w:t xml:space="preserve"> </w:t>
      </w:r>
      <w:r>
        <w:rPr>
          <w:iCs/>
          <w:i/>
        </w:rPr>
        <w:t xml:space="preserve">A. baumannii</w:t>
      </w:r>
      <w:r>
        <w:t xml:space="preserve"> </w:t>
      </w:r>
      <w:r>
        <w:t xml:space="preserve">pathogenesis [Peleg_2009]: killing was inoculum- and temperature-dependent, with significantly greater larval mortality at 37 °C than at 30 °C (P = 0.01), and clinical</w:t>
      </w:r>
      <w:r>
        <w:t xml:space="preserve"> </w:t>
      </w:r>
      <w:r>
        <w:rPr>
          <w:iCs/>
          <w:i/>
        </w:rPr>
        <w:t xml:space="preserve">A. baumannii</w:t>
      </w:r>
      <w:r>
        <w:t xml:space="preserve"> </w:t>
      </w:r>
      <w:r>
        <w:t xml:space="preserve">strains outperformed less-pathogenic</w:t>
      </w:r>
      <w:r>
        <w:t xml:space="preserve"> </w:t>
      </w:r>
      <w:r>
        <w:rPr>
          <w:iCs/>
          <w:i/>
        </w:rPr>
        <w:t xml:space="preserve">A. baylyi</w:t>
      </w:r>
      <w:r>
        <w:t xml:space="preserve"> </w:t>
      </w:r>
      <w:r>
        <w:t xml:space="preserve">and</w:t>
      </w:r>
      <w:r>
        <w:t xml:space="preserve"> </w:t>
      </w:r>
      <w:r>
        <w:rPr>
          <w:iCs/>
          <w:i/>
        </w:rPr>
        <w:t xml:space="preserve">A. lwoffii</w:t>
      </w:r>
      <w:r>
        <w:t xml:space="preserve"> </w:t>
      </w:r>
      <w:r>
        <w:t xml:space="preserve">(P &lt; 0.001). Critically, however, the authors reported that genetically reduced production of the canonical AHL signal 3-hydroxy-C12-homoserine lactone (3-OH-C12-HSL) did</w:t>
      </w:r>
      <w:r>
        <w:t xml:space="preserve"> </w:t>
      </w:r>
      <w:r>
        <w:rPr>
          <w:bCs/>
          <w:b/>
        </w:rPr>
        <w:t xml:space="preserve">not</w:t>
      </w:r>
      <w:r>
        <w:t xml:space="preserve"> </w:t>
      </w:r>
      <w:r>
        <w:t xml:space="preserve">alter virulence against</w:t>
      </w:r>
      <w:r>
        <w:t xml:space="preserve"> </w:t>
      </w:r>
      <w:r>
        <w:rPr>
          <w:iCs/>
          <w:i/>
        </w:rPr>
        <w:t xml:space="preserve">G. mellonella</w:t>
      </w:r>
      <w:r>
        <w:t xml:space="preserve">, an early caution that QS-mediated phenotypes in vitro may not translate cleanly to invertebrate killing endpoints. The closely related work of Peleg et al. using</w:t>
      </w:r>
      <w:r>
        <w:t xml:space="preserve"> </w:t>
      </w:r>
      <w:r>
        <w:rPr>
          <w:iCs/>
          <w:i/>
        </w:rPr>
        <w:t xml:space="preserve">Caenorhabditis elegans</w:t>
      </w:r>
      <w:r>
        <w:t xml:space="preserve"> </w:t>
      </w:r>
      <w:r>
        <w:t xml:space="preserve">coinfection assays similarly framed</w:t>
      </w:r>
      <w:r>
        <w:t xml:space="preserve"> </w:t>
      </w:r>
      <w:r>
        <w:rPr>
          <w:iCs/>
          <w:i/>
        </w:rPr>
        <w:t xml:space="preserve">A. baumannii</w:t>
      </w:r>
      <w:r>
        <w:t xml:space="preserve"> </w:t>
      </w:r>
      <w:r>
        <w:t xml:space="preserve">as a competitor in mixed-species biofilms, with QS-regulated outputs implicated but not directly tested in survival readouts [Peleg_2008].</w:t>
      </w:r>
    </w:p>
    <w:p>
      <w:pPr>
        <w:pStyle w:val="BodyText"/>
      </w:pPr>
      <w:r>
        <w:t xml:space="preserve">Subsequent</w:t>
      </w:r>
      <w:r>
        <w:t xml:space="preserve"> </w:t>
      </w:r>
      <w:r>
        <w:rPr>
          <w:iCs/>
          <w:i/>
        </w:rPr>
        <w:t xml:space="preserve">G. mellonella</w:t>
      </w:r>
      <w:r>
        <w:t xml:space="preserve"> </w:t>
      </w:r>
      <w:r>
        <w:t xml:space="preserve">studies have nonetheless shown reproducible attenuation when QS is disrupted. Fernandez-Garcia and colleagues demonstrated that an ATCC 17978 ΔabaI mutant produced 30% absolute mortality reduction at 24 h (70% versus 100% in wild type) at an inoculum of 8 × 10⁴ CFU/larva [FernandezGarcia_2018]. Tang and colleagues, screening 80 northeast-China clinical isolates in</w:t>
      </w:r>
      <w:r>
        <w:t xml:space="preserve"> </w:t>
      </w:r>
      <w:r>
        <w:rPr>
          <w:iCs/>
          <w:i/>
        </w:rPr>
        <w:t xml:space="preserve">G. mellonella</w:t>
      </w:r>
      <w:r>
        <w:t xml:space="preserve">, found that AHL-producing strains killed significantly more larvae than AHL-negative strains (P &lt; 0.01) and that abaI/abaR carriage correlated with multidrug resistance (MDR) at P &lt; 0.01, the largest such phenotype-to-virulence linkage in the corpus [Tang_2020]. Sun and colleagues extended this with isogenic mutants and reported serum sensitivity of ΔabaI and ΔabaIR (P &lt; 0.001) and attenuated larval lethality, defining a serum-resistance role for the AbaI/AbaR axis [Sun_2021_2]. The phase-variable AB5075 model further linked translucent and opaque colony variants to differential motility, biofilm and</w:t>
      </w:r>
      <w:r>
        <w:t xml:space="preserve"> </w:t>
      </w:r>
      <w:r>
        <w:rPr>
          <w:iCs/>
          <w:i/>
        </w:rPr>
        <w:t xml:space="preserve">Galleria</w:t>
      </w:r>
      <w:r>
        <w:t xml:space="preserve"> </w:t>
      </w:r>
      <w:r>
        <w:t xml:space="preserve">virulence [Tipton_2015]. Hypervirulent clinical isolates from bacteraemic patients have been benchmarked in</w:t>
      </w:r>
      <w:r>
        <w:t xml:space="preserve"> </w:t>
      </w:r>
      <w:r>
        <w:rPr>
          <w:iCs/>
          <w:i/>
        </w:rPr>
        <w:t xml:space="preserve">Galleria</w:t>
      </w:r>
      <w:r>
        <w:t xml:space="preserve"> </w:t>
      </w:r>
      <w:r>
        <w:t xml:space="preserve">and mice, with HUMC1 reaching twice the cell density of comparator strains and producing the Zonula occludens toxin (Zot) — a phenotype tightly linked to QS-density coupling [Benyamini_2024]. Chen and colleagues, in the IJAA-published 2024 series on XDR hypervirulent bacteraemic isolates, similarly used larval and murine readouts to confirm enhanced virulence of community-onset XDR clones [Chen_2024].</w:t>
      </w:r>
    </w:p>
    <w:p>
      <w:pPr>
        <w:pStyle w:val="BodyText"/>
      </w:pPr>
      <w:r>
        <w:t xml:space="preserve">Quorum-sensing inhibitor (QSI) efficacy in invertebrate models is uneven. Repurposed NSAIDs and approved drugs have demonstrated dose-dependent protection: levamisole at one-eighth its MIC improved</w:t>
      </w:r>
      <w:r>
        <w:t xml:space="preserve"> </w:t>
      </w:r>
      <w:r>
        <w:rPr>
          <w:iCs/>
          <w:i/>
        </w:rPr>
        <w:t xml:space="preserve">Galleria</w:t>
      </w:r>
      <w:r>
        <w:t xml:space="preserve">/murine survival from 0% to 60% at 72 h in</w:t>
      </w:r>
      <w:r>
        <w:t xml:space="preserve"> </w:t>
      </w:r>
      <w:r>
        <w:rPr>
          <w:iCs/>
          <w:i/>
        </w:rPr>
        <w:t xml:space="preserve">A. baumannii</w:t>
      </w:r>
      <w:r>
        <w:t xml:space="preserve"> </w:t>
      </w:r>
      <w:r>
        <w:t xml:space="preserve">mortality models [Beasley_2025; Seleem_2020]. Phytochemicals (peppermint extract,</w:t>
      </w:r>
      <w:r>
        <w:t xml:space="preserve"> </w:t>
      </w:r>
      <w:r>
        <w:rPr>
          <w:iCs/>
          <w:i/>
        </w:rPr>
        <w:t xml:space="preserve">Paederia foetida</w:t>
      </w:r>
      <w:r>
        <w:t xml:space="preserve">, carnosol fractions) and the natural-product indole-modulator carnosol have all yielded statistically significant reductions in larval mortality with concomitant suppression of QS-regulated transcripts [Cui_2025; Santajit_2025; MajidiFard_2025]. The two-phage cocktail of de Villiers de la Noue against an XDR burn-isolate Ab125 produced a particularly striking</w:t>
      </w:r>
      <w:r>
        <w:t xml:space="preserve"> </w:t>
      </w:r>
      <w:r>
        <w:rPr>
          <w:iCs/>
          <w:i/>
        </w:rPr>
        <w:t xml:space="preserve">Galleria</w:t>
      </w:r>
      <w:r>
        <w:t xml:space="preserve"> </w:t>
      </w:r>
      <w:r>
        <w:t xml:space="preserve">readout: 86.67% larval survival at 96 h (P &lt; 0.001 vs infection control) versus 50% and 43.75% for single phages 3014 and 3098, respectively, with phage cocktail toxicity controls confirming 80–92.5% baseline survival [deVilliersdelaNoue_2025]. Zebrafish models, used principally to integrate QS effects on host-cell inflammation, were deployed by Jiang and colleagues to demonstrate that an abaI knock-out attenuated host cytokine induction and improved zebrafish survival, providing the only vertebrate-development model in this corpus that combines QS gene disruption with whole-organism readouts [Jiang_2024]. Mardiana and colleagues also showed phage ABMM1 reduced fatality in a zebrafish</w:t>
      </w:r>
      <w:r>
        <w:t xml:space="preserve"> </w:t>
      </w:r>
      <w:r>
        <w:rPr>
          <w:iCs/>
          <w:i/>
        </w:rPr>
        <w:t xml:space="preserve">A. baumannii</w:t>
      </w:r>
      <w:r>
        <w:t xml:space="preserve"> </w:t>
      </w:r>
      <w:r>
        <w:t xml:space="preserve">model at MOI 10 [Mardiana_2023].</w:t>
      </w:r>
    </w:p>
    <w:bookmarkEnd w:id="68"/>
    <w:bookmarkStart w:id="69" w:name="X3818cec4a0c8b04823ad695ea35d95e88676b7a"/>
    <w:p>
      <w:pPr>
        <w:pStyle w:val="Heading4"/>
      </w:pPr>
      <w:r>
        <w:t xml:space="preserve">3.5.2 Murine models — pneumonia, bacteraemia, wound, burn and peritonitis</w:t>
      </w:r>
    </w:p>
    <w:p>
      <w:pPr>
        <w:pStyle w:val="FirstParagraph"/>
      </w:pPr>
      <w:r>
        <w:t xml:space="preserve">Murine evidence is concentrated on five infection types, with peritonitis and pneumonia the most common formats. Cui and colleagues delivered the most complete recent QSI-in-mouse dataset: 40 BALB/c mice (6–8 weeks, randomly allocated to four groups of n = 10) received intraperitoneal</w:t>
      </w:r>
      <w:r>
        <w:t xml:space="preserve"> </w:t>
      </w:r>
      <w:r>
        <w:rPr>
          <w:iCs/>
          <w:i/>
        </w:rPr>
        <w:t xml:space="preserve">A. baumannii</w:t>
      </w:r>
      <w:r>
        <w:t xml:space="preserve"> </w:t>
      </w:r>
      <w:r>
        <w:t xml:space="preserve">ATCC 17978 (100 µL at OD₆₀₀ = 0.8) followed 4 h later by oral carnosol (100 µM) or PBS [Cui_2025]. Day-4 mortality fell from 80% (untreated) to 30% (carnosol-treated), with parallel ex vivo evidence that carnosol suppressed</w:t>
      </w:r>
      <w:r>
        <w:t xml:space="preserve"> </w:t>
      </w:r>
      <w:r>
        <w:rPr>
          <w:iCs/>
          <w:i/>
        </w:rPr>
        <w:t xml:space="preserve">A. baumannii</w:t>
      </w:r>
      <w:r>
        <w:t xml:space="preserve">-induced caspase-1, ASC, NLRP3, IL-1β, IL-6 and TNF-α expression in RAW 264.7 macrophages (one-way ANOVA, P &lt; 0.001). The authors explicitly stated adherence to ARRIVE 2.0 principles but acknowledged the sample size was</w:t>
      </w:r>
      <w:r>
        <w:t xml:space="preserve"> </w:t>
      </w:r>
      <w:r>
        <w:rPr>
          <w:bCs/>
          <w:b/>
        </w:rPr>
        <w:t xml:space="preserve">not</w:t>
      </w:r>
      <w:r>
        <w:t xml:space="preserve"> </w:t>
      </w:r>
      <w:r>
        <w:t xml:space="preserve">predetermined by statistical method — a recurring deficiency, discussed in section 3.5.5. Mechanistically, the survival benefit tracked with inhibition of the indole-AbiR signalling axis, providing one of the few examples in the corpus where a small-molecule QSI couples a defined molecular target, a transcriptional readout, and an in vivo survival benefit.</w:t>
      </w:r>
    </w:p>
    <w:p>
      <w:pPr>
        <w:pStyle w:val="BodyText"/>
      </w:pPr>
      <w:r>
        <w:t xml:space="preserve">For murine pneumonia, the Wienhold preclinical phage study remains the most methodologically rigorous A. baumannii model in the corpus [Wienhold_2021]. C57BL/6N female mice (8–10 weeks, specific-pathogen-free, randomly assigned cages) were transnasally infected with 5 × 10⁸ CFU of a clinical MDR</w:t>
      </w:r>
      <w:r>
        <w:t xml:space="preserve"> </w:t>
      </w:r>
      <w:r>
        <w:rPr>
          <w:iCs/>
          <w:i/>
        </w:rPr>
        <w:t xml:space="preserve">A. baumannii</w:t>
      </w:r>
      <w:r>
        <w:t xml:space="preserve"> </w:t>
      </w:r>
      <w:r>
        <w:t xml:space="preserve">outbreak isolate and treated 12 h post-infection with a single intratracheal aerosolisation of 5 × 10⁶ PFU/mL phage vB_AbaM_Acibel004. Phage-treated animals demonstrated approximately 1 log₁₀ CFU reduction in lung tissue at 24 h post-infection, with concordant immunohistochemical reductions in bacterial antigen, less peripheral spread of bronchopneumonia on H&amp;E sections, restoration of body temperature, and lower BAL/plasma serum albumin ratios (lung-barrier index). Notably, histopathology was evaluated by board-certified veterinary pathologists</w:t>
      </w:r>
      <w:r>
        <w:t xml:space="preserve"> </w:t>
      </w:r>
      <w:r>
        <w:rPr>
          <w:bCs/>
          <w:b/>
        </w:rPr>
        <w:t xml:space="preserve">blinded to study group</w:t>
      </w:r>
      <w:r>
        <w:t xml:space="preserve"> </w:t>
      </w:r>
      <w:r>
        <w:t xml:space="preserve">— a rarity in this literature. Ex vivo human lung tissue confirmed no detectable CFU at 2 h post-phage treatment without significant induction of IL-1β or IL-8, addressing the endotoxin-release concern that limits clinical translation of bacteriolytic agents. Similarly, Li and colleagues showed prophylactic intranasal Saclayvirus phage vB_AbaM_P1 prevented pneumonia development in mice [Li_2024], and Yan and colleagues developed spray-dried inhalable phage powders with respirable particle sizes &lt;5 µm, anticipating translational deployment [Yan_2021].</w:t>
      </w:r>
    </w:p>
    <w:p>
      <w:pPr>
        <w:pStyle w:val="BodyText"/>
      </w:pPr>
      <w:r>
        <w:t xml:space="preserve">Bacteraemia models have been used to test phage cocktails against XDR isolates. Leshkasheli and colleagues demonstrated efficacy of newly isolated phages in a murine XDR</w:t>
      </w:r>
      <w:r>
        <w:t xml:space="preserve"> </w:t>
      </w:r>
      <w:r>
        <w:rPr>
          <w:iCs/>
          <w:i/>
        </w:rPr>
        <w:t xml:space="preserve">A. baumannii</w:t>
      </w:r>
      <w:r>
        <w:t xml:space="preserve"> </w:t>
      </w:r>
      <w:r>
        <w:t xml:space="preserve">bacteraemia model — survival benefit was reported but with limited disclosure of allocation concealment, blinding, or sample-size justification [Leshkasheli_2019]. The Vogel study of the heterologous</w:t>
      </w:r>
      <w:r>
        <w:t xml:space="preserve"> </w:t>
      </w:r>
      <w:r>
        <w:rPr>
          <w:iCs/>
          <w:i/>
        </w:rPr>
        <w:t xml:space="preserve">Pseudomonas</w:t>
      </w:r>
      <w:r>
        <w:t xml:space="preserve"> </w:t>
      </w:r>
      <w:r>
        <w:t xml:space="preserve">acylase PvdQ established proof-of-concept that an exogenous quorum-quenching (QQ) enzyme could reduce</w:t>
      </w:r>
      <w:r>
        <w:t xml:space="preserve"> </w:t>
      </w:r>
      <w:r>
        <w:rPr>
          <w:iCs/>
          <w:i/>
        </w:rPr>
        <w:t xml:space="preserve">A. baumannii</w:t>
      </w:r>
      <w:r>
        <w:t xml:space="preserve"> </w:t>
      </w:r>
      <w:r>
        <w:t xml:space="preserve">biofilm formation, though in vivo data were limited to short-term endpoints [Vogel_2022]. Burn-wound models have been more recently developed: Elshamy and colleagues evaluated hydrogel-formulated lytic phages vB_AbaM-SPA and vB_AbaM-SPB in a burn-wound</w:t>
      </w:r>
      <w:r>
        <w:t xml:space="preserve"> </w:t>
      </w:r>
      <w:r>
        <w:rPr>
          <w:iCs/>
          <w:i/>
        </w:rPr>
        <w:t xml:space="preserve">A. baumannii</w:t>
      </w:r>
      <w:r>
        <w:t xml:space="preserve"> </w:t>
      </w:r>
      <w:r>
        <w:t xml:space="preserve">model and reported accelerated dermal mature collagen formation, improved survival, and faster wound healing in phage-hydrogel groups versus untreated controls [Elshamy_2025]. Khafagy and colleagues repurposed nitroimidazoles in a triphasic in silico/in vitro/in vivo design demonstrating attenuation of QS-regulated virulence and biofilm and improvement in infected-mouse outcomes [Khafagy_2025]. Su and colleagues characterised phage vB_AbaM_AB4P2 in an animal biofilm model with depolymerase-mediated biofilm clearance of 52% as a single agent [Su_2025], while the Nosair niosomal-staphyloxanthin nanovesicle platform achieved 68–88% biofilm reduction and 82% mature-biofilm disruption with associated suppression of QS gene transcripts in murine challenge [Nosair_2025]. Hetta and colleagues showed silver nanoparticles (MIC 4–25 µg/mL) attenuated QS-regulated phenotypes in MDR</w:t>
      </w:r>
      <w:r>
        <w:t xml:space="preserve"> </w:t>
      </w:r>
      <w:r>
        <w:rPr>
          <w:iCs/>
          <w:i/>
        </w:rPr>
        <w:t xml:space="preserve">A. baumannii</w:t>
      </w:r>
      <w:r>
        <w:t xml:space="preserve"> </w:t>
      </w:r>
      <w:r>
        <w:t xml:space="preserve">and improved survival in murine challenge models [Hetta_2021]. Wintachai and colleagues isolated Phapecoctavirus vABPW7 with strong A549 epithelial-cell antibiofilm activity and validated it in larval/murine readouts [Wintachai_2022].</w:t>
      </w:r>
    </w:p>
    <w:p>
      <w:pPr>
        <w:pStyle w:val="BodyText"/>
      </w:pPr>
      <w:r>
        <w:t xml:space="preserve">Across these studies, bacterial-burden reductions cluster around 1–2 log₁₀ CFU at the primary endpoint when phages or QSIs are tested as single agents, with the largest reductions observed for phage-antibiotic combinations (e.g., &gt;6 log₁₀ CFU/mL synergy with colistin and the 3014/3098 cocktail in time-kill assays, supporting in vivo extrapolation [deVilliersdelaNoue_2025]). Cytokine modulation is reported inconsistently: Cui and colleagues quantified IL-1β/IL-6/TNF-α suppression at the transcript level [Cui_2025], Wienhold and colleagues measured IL-1β and IL-8 in ex vivo human lung [Wienhold_2021], but the majority of murine studies in the corpus report only survival curves without parallel histopathology or cytokine panels.</w:t>
      </w:r>
    </w:p>
    <w:bookmarkEnd w:id="69"/>
    <w:bookmarkStart w:id="70" w:name="X676facb93153570a419952f0f8ba79147fca362"/>
    <w:p>
      <w:pPr>
        <w:pStyle w:val="Heading4"/>
      </w:pPr>
      <w:r>
        <w:t xml:space="preserve">3.5.3 Phage in vivo studies — burn wound, pneumonia and biofilm-on-implant</w:t>
      </w:r>
    </w:p>
    <w:p>
      <w:pPr>
        <w:pStyle w:val="FirstParagraph"/>
      </w:pPr>
      <w:r>
        <w:t xml:space="preserve">Phage therapy is the most clinically advanced anti-</w:t>
      </w:r>
      <w:r>
        <w:rPr>
          <w:iCs/>
          <w:i/>
        </w:rPr>
        <w:t xml:space="preserve">A. baumannii</w:t>
      </w:r>
      <w:r>
        <w:t xml:space="preserve"> </w:t>
      </w:r>
      <w:r>
        <w:t xml:space="preserve">approach in the corpus and the only intervention with in vivo data across all four major infection types relevant to QS-controlled biofilm pathology. Burn-wound studies are particularly well represented: de Villiers de la Noue and colleagues rationally designed a two-phage cocktail (vB_AbaM_3014 and vB_AbaM_3098) against an XDR clinical strain (Ab125) recovered from a burn patient at Lausanne University Hospital, with comparative genomics implicating the trimeric autotransporter adhesin Ata as a candidate phage receptor [deVilliersdelaNoue_2025]. The cocktail attained virulence index Vp = 0.62 (versus 0 and 0.47 for the constituents alone), full bacterial-growth suppression at MOI 10⁻², and synergy with colistin (FICI 0.57; &gt;6 log₁₀ CFU/mL killing at 24 h). Elshamy and colleagues advanced hydrogel-formulated phages for topical burn-wound delivery with histological collagen-maturation endpoints [Elshamy_2025], and Su and colleagues evaluated phage AB4P2 (encoding a depolymerase) in an animal biofilm-on-surface model with 33–52% biofilm-ablation rates [Su_2025]. Pneumonia models include Wienhold's intratracheal-aerosolisation study [Wienhold_2021], Li's prophylactic Saclayvirus [Li_2024], and Yan's spray-dried powder formulations [Yan_2021]. Phage-encoded antimicrobial peptides have also been tested in combination with colistin and outer-membrane permeabilising agents in synergy panels relevant to biofilm-on-implant infection [Rothong_2024]. T4-like phages DLP1/DLP2 [Peters_2023] and the temperate phage ABMM1 [Mardiana_2023] have been characterised but evaluated primarily in invertebrate readouts.</w:t>
      </w:r>
    </w:p>
    <w:bookmarkEnd w:id="70"/>
    <w:bookmarkStart w:id="71" w:name="X61fe2befa75706aac670563d192ed387de76ef1"/>
    <w:p>
      <w:pPr>
        <w:pStyle w:val="Heading4"/>
      </w:pPr>
      <w:r>
        <w:t xml:space="preserve">3.5.4 Pharmacokinetics and pharmacodynamics gaps</w:t>
      </w:r>
    </w:p>
    <w:p>
      <w:pPr>
        <w:pStyle w:val="FirstParagraph"/>
      </w:pPr>
      <w:r>
        <w:t xml:space="preserve">A systematic deficiency across the corpus is the absence of pharmacokinetic (PK) characterisation for putative QSIs in</w:t>
      </w:r>
      <w:r>
        <w:t xml:space="preserve"> </w:t>
      </w:r>
      <w:r>
        <w:rPr>
          <w:iCs/>
          <w:i/>
        </w:rPr>
        <w:t xml:space="preserve">A. baumannii</w:t>
      </w:r>
      <w:r>
        <w:t xml:space="preserve"> </w:t>
      </w:r>
      <w:r>
        <w:t xml:space="preserve">infection models. The carnosol study reported a single oral dose of 100 µM without plasma exposure data, target-tissue concentrations, or dose-response curves [Cui_2025]. Carpenito's LC-MS/MS plasma method, although developed for QS</w:t>
      </w:r>
      <w:r>
        <w:t xml:space="preserve"> </w:t>
      </w:r>
      <w:r>
        <w:rPr>
          <w:iCs/>
          <w:i/>
        </w:rPr>
        <w:t xml:space="preserve">molecules</w:t>
      </w:r>
      <w:r>
        <w:t xml:space="preserve"> </w:t>
      </w:r>
      <w:r>
        <w:t xml:space="preserve">rather than QSIs, provides the analytical foundation that would be required for any QSI PK programme and demonstrates the technical feasibility of nanogram-per-millilitre quantification in human plasma [Carpenito_2025]. For phages, Wienhold and colleagues acknowledged that PK, pharmacodynamics, tissue penetration and the role of neutralising anti-phage antibodies are unresolved [Wienhold_2021]. No PK/PD study in the corpus has defined an AUC/MIC, T&gt;MIC, or equivalent index for any QSI in</w:t>
      </w:r>
      <w:r>
        <w:t xml:space="preserve"> </w:t>
      </w:r>
      <w:r>
        <w:rPr>
          <w:iCs/>
          <w:i/>
        </w:rPr>
        <w:t xml:space="preserve">A. baumannii</w:t>
      </w:r>
      <w:r>
        <w:t xml:space="preserve">. The lack of dose-fractionation studies, single-dose-versus-repeat-dose comparisons, or formal allometric scaling renders it impossible to predict human-equivalent doses, and this gap is the principal obstacle to first-in-human translation.</w:t>
      </w:r>
    </w:p>
    <w:bookmarkEnd w:id="71"/>
    <w:bookmarkStart w:id="72" w:name="X6564536e7b955021c1668c865de89df29fbbb5f"/>
    <w:p>
      <w:pPr>
        <w:pStyle w:val="Heading4"/>
      </w:pPr>
      <w:r>
        <w:t xml:space="preserve">3.5.5 Methodological quality and ARRIVE 2.0 compliance</w:t>
      </w:r>
    </w:p>
    <w:p>
      <w:pPr>
        <w:pStyle w:val="FirstParagraph"/>
      </w:pPr>
      <w:r>
        <w:t xml:space="preserve">Reporting quality is uneven and frequently falls short of ARRIVE 2.0 expectations. The Cui carnosol study is illustrative: it explicitly invokes ARRIVE adherence but states that "the sample size was not predetermined using a statistical method" [Cui_2025] — a direct failure of ARRIVE essential item 2. The Wienhold pneumonia study is among the most rigorous in the corpus, with randomisation, predefined humane endpoints, blinded histopathological evaluation, and clear inclusion/exclusion criteria, but does not report formal sample-size justification [Wienhold_2021]. Other murine studies in the corpus (e.g., [Khafagy_2025; Elshamy_2025; Su_2025; Nosair_2025; Hetta_2021; Leshkasheli_2019]) typically present survival curves and CFU data without disclosing allocation concealment, blinding of outcome assessors, sample-size calculation, or reporting of animal exclusions. Where the unit of analysis (cage versus animal) matters for cytokine or histology readouts, this is rarely specified. The collective effect is that effect-size estimates derived from these studies should be treated as exploratory and at substantial risk of overestimation; meta-analytic synthesis of the QSI/phage in vivo literature should incorporate domain-based risk-of-bias assessment (SYRCLE or equivalent) before any pooled effect is generated.</w:t>
      </w:r>
    </w:p>
    <w:bookmarkEnd w:id="72"/>
    <w:bookmarkEnd w:id="73"/>
    <w:bookmarkStart w:id="78" w:name="Xb733268c4ffe41559a63e054fd87b2f42aac2e4"/>
    <w:p>
      <w:pPr>
        <w:pStyle w:val="Heading3"/>
      </w:pPr>
      <w:r>
        <w:t xml:space="preserve">3.6 Clinical Translational Evidence</w:t>
      </w:r>
    </w:p>
    <w:bookmarkStart w:id="74" w:name="Xf98d03f61ba995ecd7cb7304baf967680d64587"/>
    <w:p>
      <w:pPr>
        <w:pStyle w:val="Heading4"/>
      </w:pPr>
      <w:r>
        <w:t xml:space="preserve">3.6.1 Detection of QS molecules in patient samples</w:t>
      </w:r>
    </w:p>
    <w:p>
      <w:pPr>
        <w:pStyle w:val="FirstParagraph"/>
      </w:pPr>
      <w:r>
        <w:t xml:space="preserve">Direct measurement of</w:t>
      </w:r>
      <w:r>
        <w:t xml:space="preserve"> </w:t>
      </w:r>
      <w:r>
        <w:rPr>
          <w:iCs/>
          <w:i/>
        </w:rPr>
        <w:t xml:space="preserve">A. baumannii</w:t>
      </w:r>
      <w:r>
        <w:t xml:space="preserve"> </w:t>
      </w:r>
      <w:r>
        <w:t xml:space="preserve">QS molecules in patient material is in its infancy. The single dedicated study in our corpus is Carpenito and colleagues, who developed and validated an LC-MS/MS method for simultaneous determination of nine QS molecules (five N-acyl-homoserine lactones and four 2-alkyl-4(1H)-quinolones) in human plasma, with limits of quantification 0.02–0.79 ng/mL and intra-assay CV &lt;15% [Carpenito_2025]. Applied to three critically ill burn patients (n = 3; Burn Unit, CTO Hospital, Italy) with hemoculture-positive septic shock sustained by multidrug-resistant</w:t>
      </w:r>
      <w:r>
        <w:t xml:space="preserve"> </w:t>
      </w:r>
      <w:r>
        <w:rPr>
          <w:iCs/>
          <w:i/>
        </w:rPr>
        <w:t xml:space="preserve">A. baumannii</w:t>
      </w:r>
      <w:r>
        <w:t xml:space="preserve">, the canonical</w:t>
      </w:r>
      <w:r>
        <w:t xml:space="preserve"> </w:t>
      </w:r>
      <w:r>
        <w:rPr>
          <w:iCs/>
          <w:i/>
        </w:rPr>
        <w:t xml:space="preserve">A. baumannii</w:t>
      </w:r>
      <w:r>
        <w:t xml:space="preserve"> </w:t>
      </w:r>
      <w:r>
        <w:t xml:space="preserve">signal 3-OH-C12-HSL peaked at 1.5 ng/mL on day 1 of sampling (mean 0.8 ng/mL across three consecutive days), while C7-PQS, C9-PQS, HHQ and HQNO ranged 0.5–1.5 ng/mL with one patient peaking at 5 ng/mL on day 3. The youngest patient (85% total burn surface area) died after eight months of hospitalisation. Although the cohort is too small to support biomarker validation, the study provides the first proof-of-concept that</w:t>
      </w:r>
      <w:r>
        <w:t xml:space="preserve"> </w:t>
      </w:r>
      <w:r>
        <w:rPr>
          <w:iCs/>
          <w:i/>
        </w:rPr>
        <w:t xml:space="preserve">A. baumannii</w:t>
      </w:r>
      <w:r>
        <w:t xml:space="preserve">-associated AHLs are quantifiable in human plasma during clinical sepsis and that polymicrobial AQ signatures (potentially co-produced with</w:t>
      </w:r>
      <w:r>
        <w:t xml:space="preserve"> </w:t>
      </w:r>
      <w:r>
        <w:rPr>
          <w:iCs/>
          <w:i/>
        </w:rPr>
        <w:t xml:space="preserve">P. aeruginosa</w:t>
      </w:r>
      <w:r>
        <w:t xml:space="preserve">) may be detectable in the same matrix. The Chan and colleagues earlier tandem-MS detection of QS activity in MDR clinical isolates provided the prior technical basis for sample-extraction protocols [Chan_2014]. As a biomarker proposition, QS molecules could theoretically inform timing of treatment monitoring or anti-virulence dosing, but the literature does not yet establish concentration thresholds, response surfaces, or correlation with clinical severity scores; this must remain a hypothesis-generating finding until validated in adequately powered cohorts.</w:t>
      </w:r>
    </w:p>
    <w:bookmarkEnd w:id="74"/>
    <w:bookmarkStart w:id="75" w:name="Xc7428e43a9f33b205901c8720ed5bd9ff554209"/>
    <w:p>
      <w:pPr>
        <w:pStyle w:val="Heading4"/>
      </w:pPr>
      <w:r>
        <w:t xml:space="preserve">3.6.2 Genomic epidemiology of QS gene variation in clinical CRAB</w:t>
      </w:r>
    </w:p>
    <w:p>
      <w:pPr>
        <w:pStyle w:val="FirstParagraph"/>
      </w:pPr>
      <w:r>
        <w:t xml:space="preserve">In contrast to the thin direct-molecule literature, clinical isolate sequencing studies are abundant and provide useful insight into how QS loci behave across carbapenem-resistant</w:t>
      </w:r>
      <w:r>
        <w:t xml:space="preserve"> </w:t>
      </w:r>
      <w:r>
        <w:rPr>
          <w:iCs/>
          <w:i/>
        </w:rPr>
        <w:t xml:space="preserve">A. baumannii</w:t>
      </w:r>
      <w:r>
        <w:t xml:space="preserve"> </w:t>
      </w:r>
      <w:r>
        <w:t xml:space="preserve">(CRAB) lineages. Lebreton and colleagues sequenced 167</w:t>
      </w:r>
      <w:r>
        <w:t xml:space="preserve"> </w:t>
      </w:r>
      <w:r>
        <w:rPr>
          <w:iCs/>
          <w:i/>
        </w:rPr>
        <w:t xml:space="preserve">A. baumannii</w:t>
      </w:r>
      <w:r>
        <w:t xml:space="preserve"> </w:t>
      </w:r>
      <w:r>
        <w:t xml:space="preserve">and 93</w:t>
      </w:r>
      <w:r>
        <w:t xml:space="preserve"> </w:t>
      </w:r>
      <w:r>
        <w:rPr>
          <w:iCs/>
          <w:i/>
        </w:rPr>
        <w:t xml:space="preserve">P. aeruginosa</w:t>
      </w:r>
      <w:r>
        <w:t xml:space="preserve"> </w:t>
      </w:r>
      <w:r>
        <w:t xml:space="preserve">isolates from 223 Ukrainian patients spanning the pre- and post-2022 invasion periods, identifying highly related XDR clones (ST-2 with blaOXA-23, ST-78 with blaOXA-72 and ST-400 with blaGES-11) circulating across both periods, with hospital wound, surveillance, respiratory, burn and blood sources [Lebreton_2025]. The post-invasion</w:t>
      </w:r>
      <w:r>
        <w:t xml:space="preserve"> </w:t>
      </w:r>
      <w:r>
        <w:rPr>
          <w:iCs/>
          <w:i/>
        </w:rPr>
        <w:t xml:space="preserve">P. aeruginosa</w:t>
      </w:r>
      <w:r>
        <w:t xml:space="preserve"> </w:t>
      </w:r>
      <w:r>
        <w:t xml:space="preserve">ST-773 and ST-1047 carried signature LasR loss-of-function mutations — a host-adaptation signal directly relevant to QS biology, although the</w:t>
      </w:r>
      <w:r>
        <w:t xml:space="preserve"> </w:t>
      </w:r>
      <w:r>
        <w:rPr>
          <w:iCs/>
          <w:i/>
        </w:rPr>
        <w:t xml:space="preserve">A. baumannii</w:t>
      </w:r>
      <w:r>
        <w:t xml:space="preserve"> </w:t>
      </w:r>
      <w:r>
        <w:t xml:space="preserve">AbaI/AbaR locus did not show comparable accumulated loss-of-function variation, consistent with its conserved role in fitness within hospital reservoirs. Nghiem and colleagues sequenced 30</w:t>
      </w:r>
      <w:r>
        <w:t xml:space="preserve"> </w:t>
      </w:r>
      <w:r>
        <w:rPr>
          <w:iCs/>
          <w:i/>
        </w:rPr>
        <w:t xml:space="preserve">A. baumannii</w:t>
      </w:r>
      <w:r>
        <w:t xml:space="preserve"> </w:t>
      </w:r>
      <w:r>
        <w:t xml:space="preserve">clinical isolates from two military hospitals in Hanoi, Vietnam (Military Hospital 103 and Military Central Hospital 108, 2022) and found ST2 (39.3%) and ST571 (21.4%) as dominant lineages [Nghiem_2025]. The abaI and abaR loci were present in 21 of 30 isolates and frequently co-occurred with blaOXA-23 within the same strains; physical co-localisation of blaOXA-23 and abaR was observed on the AC716 plasmid (n = 4), and AbaR4b resistance islands (n = 24) frequently carried both blaOXA-23 and abaI, providing evidence for joint dissemination of resistance and QS regulatory determinants on mobile elements. Zhang and colleagues studied 92 CRAB isolates from three Chinese teaching hospital ICUs (Yangzhou, Yixing, Xuyi; 2019–2022), finding near-uniform ST2/blaOXA-23 background; sputum was the source for 87 (94.6%) isolates and biofilm-formation genes (csuA-E, lpxC) were conserved across the lineage [Zhang_2025]. Chanchaithong and colleagues extended the genomic epidemiology to AbaR4-type genomic islands across multiple</w:t>
      </w:r>
      <w:r>
        <w:t xml:space="preserve"> </w:t>
      </w:r>
      <w:r>
        <w:rPr>
          <w:iCs/>
          <w:i/>
        </w:rPr>
        <w:t xml:space="preserve">A. baumannii</w:t>
      </w:r>
      <w:r>
        <w:t xml:space="preserve"> </w:t>
      </w:r>
      <w:r>
        <w:t xml:space="preserve">clones and</w:t>
      </w:r>
      <w:r>
        <w:t xml:space="preserve"> </w:t>
      </w:r>
      <w:r>
        <w:rPr>
          <w:iCs/>
          <w:i/>
        </w:rPr>
        <w:t xml:space="preserve">A. pittii</w:t>
      </w:r>
      <w:r>
        <w:t xml:space="preserve"> </w:t>
      </w:r>
      <w:r>
        <w:t xml:space="preserve">from companion-animal infections, evidencing the One Health dimension of these resistance and virulence determinants [Chanchaithong_2025]. Meumann and colleagues showed community-onset isolates were not phylogenetically distinct from nosocomial isolates, complicating any reservoir-based intervention strategy [Meumann_2019]. The Kim 2013 study mapped the geographic distribution of CRAB global clone 2 and AbaR-type resistance islands across Asia [Kim_2013]. The Wiradiputra study of biofilm-associated virulence in XDR isolates found that susceptible isolates paradoxically had a higher propensity for strong biofilm formation [Wiradiputra_2025], while Azimi and colleagues genotyped 50 MDR clinical samples from Iranian ICUs (62% male, predominantly tracheobronchial) for community-interaction genes [Azimi_2025]. Sharma and colleagues compared colonising versus pathogenic CRAB and found colonisers had significantly stronger biofilm (P = 0.03) and desiccation tolerance (P = 0.002) than pathogenic isolates [Sharma_2025]. Liu and colleagues showed that abaI- and csuE-positive isolates from mainland China had higher MDR rates against 14 antibiotic classes (P &lt; 0.05) [Liu_2016_2], complementing Tang's finding that abaI/abaR carriage correlated with both drug resistance and virulence [Tang_2020]. Fernandez-Garcia and colleagues, using 30 isolates from the GEIH-REIPI Spanish multicentre study (45 hospitals, 246 patients), demonstrated that aidA (encoding a QQ enzyme) expression was significantly lower (P &lt; 0.001) in</w:t>
      </w:r>
      <w:r>
        <w:t xml:space="preserve"> </w:t>
      </w:r>
      <w:r>
        <w:rPr>
          <w:iCs/>
          <w:i/>
        </w:rPr>
        <w:t xml:space="preserve">A. baumannii</w:t>
      </w:r>
      <w:r>
        <w:t xml:space="preserve"> </w:t>
      </w:r>
      <w:r>
        <w:t xml:space="preserve">causing bacteraemic pneumonia than in non-bacteraemic pneumonia — the first direct linkage between a QS regulatory gene's expression level and a specific clinical syndrome in patient-derived isolates [FernandezGarcia_2018]. The Ghavanloughajar study using human whole blood as an ex vivo medium showed upregulation of iron- and zinc-acquisition systems and the csu/QS axis [Ghavanloughajar_2025], indicating that QS loci are functionally engaged during the bloodstream phase of infection. Taken together, these data establish that AbaI/AbaR and aidA are largely conserved across globally important CRAB lineages (ST2 and ST571 in particular) and that their expression — rather than their presence — is the most likely modulator of clinical phenotype.</w:t>
      </w:r>
    </w:p>
    <w:bookmarkEnd w:id="75"/>
    <w:bookmarkStart w:id="76" w:name="X1e6f3c10bf09971aa7abb41483d6c951bc4b968"/>
    <w:p>
      <w:pPr>
        <w:pStyle w:val="Heading4"/>
      </w:pPr>
      <w:r>
        <w:t xml:space="preserve">3.6.3 Compassionate use, case reports and clinical trials</w:t>
      </w:r>
    </w:p>
    <w:p>
      <w:pPr>
        <w:pStyle w:val="FirstParagraph"/>
      </w:pPr>
      <w:r>
        <w:t xml:space="preserve">Direct human therapeutic experience with any anti-QS approach against</w:t>
      </w:r>
      <w:r>
        <w:t xml:space="preserve"> </w:t>
      </w:r>
      <w:r>
        <w:rPr>
          <w:iCs/>
          <w:i/>
        </w:rPr>
        <w:t xml:space="preserve">A. baumannii</w:t>
      </w:r>
      <w:r>
        <w:t xml:space="preserve"> </w:t>
      </w:r>
      <w:r>
        <w:t xml:space="preserve">is restricted to phage compassionate-use experience, and even this remains case-based rather than trial-based. The Schooley case (referenced in [deVilliersdelaNoue_2025] and [Wienhold_2021]), which used phage therapy as an adjunct to antibiotics for a disseminated MDR</w:t>
      </w:r>
      <w:r>
        <w:t xml:space="preserve"> </w:t>
      </w:r>
      <w:r>
        <w:rPr>
          <w:iCs/>
          <w:i/>
        </w:rPr>
        <w:t xml:space="preserve">A. baumannii</w:t>
      </w:r>
      <w:r>
        <w:t xml:space="preserve"> </w:t>
      </w:r>
      <w:r>
        <w:t xml:space="preserve">infection, is broadly credited with reactivating phage compassionate-use protocols in the West. Several additional cases referenced in our corpus involve</w:t>
      </w:r>
      <w:r>
        <w:t xml:space="preserve"> </w:t>
      </w:r>
      <w:r>
        <w:rPr>
          <w:iCs/>
          <w:i/>
        </w:rPr>
        <w:t xml:space="preserve">Acinetobacter</w:t>
      </w:r>
      <w:r>
        <w:t xml:space="preserve">,</w:t>
      </w:r>
      <w:r>
        <w:t xml:space="preserve"> </w:t>
      </w:r>
      <w:r>
        <w:rPr>
          <w:iCs/>
          <w:i/>
        </w:rPr>
        <w:t xml:space="preserve">Pseudomonas</w:t>
      </w:r>
      <w:r>
        <w:t xml:space="preserve"> </w:t>
      </w:r>
      <w:r>
        <w:t xml:space="preserve">and</w:t>
      </w:r>
      <w:r>
        <w:t xml:space="preserve"> </w:t>
      </w:r>
      <w:r>
        <w:rPr>
          <w:iCs/>
          <w:i/>
        </w:rPr>
        <w:t xml:space="preserve">Staphylococcus</w:t>
      </w:r>
      <w:r>
        <w:t xml:space="preserve"> </w:t>
      </w:r>
      <w:r>
        <w:t xml:space="preserve">phage therapy — predominantly in burn, prosthetic-joint or respiratory infections — but none constitutes a registered clinical trial for an anti-QS agent. No QSI for</w:t>
      </w:r>
      <w:r>
        <w:t xml:space="preserve"> </w:t>
      </w:r>
      <w:r>
        <w:rPr>
          <w:iCs/>
          <w:i/>
        </w:rPr>
        <w:t xml:space="preserve">A. baumannii</w:t>
      </w:r>
      <w:r>
        <w:t xml:space="preserve"> </w:t>
      </w:r>
      <w:r>
        <w:t xml:space="preserve">identified in this corpus has progressed beyond Phase I clinical evaluation. The Beasley QSI-antibiotic enhancement preprint highlights repurposed drugs (piperacillin/ketoprofen, indomethacin, piroxicam, levamisole) as candidate combinations but explicitly states that further preclinical investigation is required before any translational use [Beasley_2025]. We did not identify any registered ClinicalTrials.gov record for an</w:t>
      </w:r>
      <w:r>
        <w:t xml:space="preserve"> </w:t>
      </w:r>
      <w:r>
        <w:rPr>
          <w:iCs/>
          <w:i/>
        </w:rPr>
        <w:t xml:space="preserve">A. baumannii</w:t>
      </w:r>
      <w:r>
        <w:t xml:space="preserve">-targeted QSI within the present corpus and note this as an evidence gap requiring direct registry interrogation in subsequent reviews.</w:t>
      </w:r>
    </w:p>
    <w:bookmarkEnd w:id="76"/>
    <w:bookmarkStart w:id="77" w:name="X41c96513c8506137a53b74919af85168fa86a39"/>
    <w:p>
      <w:pPr>
        <w:pStyle w:val="Heading4"/>
      </w:pPr>
      <w:r>
        <w:t xml:space="preserve">3.6.4 The clinical translation gap</w:t>
      </w:r>
    </w:p>
    <w:p>
      <w:pPr>
        <w:pStyle w:val="FirstParagraph"/>
      </w:pPr>
      <w:r>
        <w:t xml:space="preserve">The clinical translation gap for anti-QS therapy in</w:t>
      </w:r>
      <w:r>
        <w:t xml:space="preserve"> </w:t>
      </w:r>
      <w:r>
        <w:rPr>
          <w:iCs/>
          <w:i/>
        </w:rPr>
        <w:t xml:space="preserve">A. baumannii</w:t>
      </w:r>
      <w:r>
        <w:t xml:space="preserve"> </w:t>
      </w:r>
      <w:r>
        <w:t xml:space="preserve">is wide and asymmetric. Phage cocktails are the furthest advanced — supported by compassionate-use precedent, formal preclinical pneumonia and burn-wound studies in immunocompetent mice [Wienhold_2021; deVilliersdelaNoue_2025; Elshamy_2025], ex vivo human-lung confirmation, and emerging combination synergy with colistin — yet no licensed phage product currently exists for</w:t>
      </w:r>
      <w:r>
        <w:t xml:space="preserve"> </w:t>
      </w:r>
      <w:r>
        <w:rPr>
          <w:iCs/>
          <w:i/>
        </w:rPr>
        <w:t xml:space="preserve">A. baumannii</w:t>
      </w:r>
      <w:r>
        <w:t xml:space="preserve">. Small-molecule QSIs are markedly less advanced: most are natural products or repurposed drugs evaluated in single-laboratory in vivo studies (e.g., carnosol [Cui_2025], nitroimidazoles [Khafagy_2025], staphyloxanthin niosomes [Nosair_2025], silver nanoparticles [Hetta_2021]) without PK characterisation, dose-fractionation studies, or independent replication. Quorum-quenching enzymes (PvdQ, MomL, Aii20J) remain at the in vitro–early-in vivo stage [Vogel_2022; Mayer_2020; Zhang_2017]. None of these classes has produced a Phase I trial in our corpus.</w:t>
      </w:r>
    </w:p>
    <w:p>
      <w:pPr>
        <w:pStyle w:val="BodyText"/>
      </w:pPr>
      <w:r>
        <w:t xml:space="preserve">For the clinical reader of this journal, the implications are concrete. First, prescribing anti-QS adjuncts for</w:t>
      </w:r>
      <w:r>
        <w:t xml:space="preserve"> </w:t>
      </w:r>
      <w:r>
        <w:rPr>
          <w:iCs/>
          <w:i/>
        </w:rPr>
        <w:t xml:space="preserve">A. baumannii</w:t>
      </w:r>
      <w:r>
        <w:t xml:space="preserve"> </w:t>
      </w:r>
      <w:r>
        <w:t xml:space="preserve">is not currently supported by clinical-trial evidence, and any deployment outside compassionate-use phage protocols is investigational. Second, the dominance of conserved ST2/ST571 lineages with intact abaI/abaR machinery suggests that a successful QSI would in principle have broad strain coverage [Nghiem_2025; Zhang_2025; Lebreton_2025], but the corresponding clinical-syndrome–to–gene-expression linkage [FernandezGarcia_2018] indicates that biomarker stratification — for which Carpenito's LC-MS/MS platform is the most promising tool [Carpenito_2025] — will likely be needed to enrich any future trial population. Third, the absence of biomarker-defined inclusion criteria, hard outcome endpoints (28-day mortality, microbiological cure), and formal PK/PD targets across the corpus means that even strongly positive preclinical signals (e.g., the 80%-to-30% mortality reduction with carnosol [Cui_2025] or the 86.7% larval survival with the 3014/3098 phage cocktail [deVilliersdelaNoue_2025]) cannot at present be translated into evidence-based prescribing recommendations. Closing this gap will require dedicated investment in (i) GLP toxicology and PK programmes for the most promising small-molecule QSI candidates, (ii) standardised ARRIVE 2.0-compliant in vivo studies with blinded outcome assessment and pre-specified sample-size justification, (iii) prospective collection of plasma and respiratory secretions for QS-molecule quantification linked to clinical severity scores, and (iv) at least one well-designed Phase I/II study of a phage cocktail or QSI–antibiotic combination in a high-need population such as ventilator-associated pneumonia or burn-wound sepsis.</w:t>
      </w:r>
    </w:p>
    <w:bookmarkEnd w:id="77"/>
    <w:bookmarkEnd w:id="78"/>
    <w:bookmarkStart w:id="79" w:name="X721008f3b17d943a80ac2a40e8bb57eb5c16ae9"/>
    <w:p>
      <w:pPr>
        <w:pStyle w:val="Heading3"/>
      </w:pPr>
      <w:r>
        <w:t xml:space="preserve">3.7 Antibiotic resensitization and synergy</w:t>
      </w:r>
    </w:p>
    <w:p>
      <w:pPr>
        <w:pStyle w:val="FirstParagraph"/>
      </w:pPr>
      <w:r>
        <w:t xml:space="preserve">A consistent secondary outcome across the QSI literature is restoration of antibiotic susceptibility in MDR/XDR isolates. FICI &lt; 0.5 (synergy) was reported for combinations of natural-product QSIs with carbapenems, colistin or tigecycline in several in vitro checkerboard assays in the corpus; representative effect magnitudes were in the 2–8-fold MIC reduction range. Mechanistic explanations invoke QS-dependent transcriptional control of RND efflux pumps (</w:t>
      </w:r>
      <w:r>
        <w:rPr>
          <w:iCs/>
          <w:i/>
        </w:rPr>
        <w:t xml:space="preserve">adeABC</w:t>
      </w:r>
      <w:r>
        <w:t xml:space="preserve">,</w:t>
      </w:r>
      <w:r>
        <w:t xml:space="preserve"> </w:t>
      </w:r>
      <w:r>
        <w:rPr>
          <w:iCs/>
          <w:i/>
        </w:rPr>
        <w:t xml:space="preserve">adeFGH</w:t>
      </w:r>
      <w:r>
        <w:t xml:space="preserve">,</w:t>
      </w:r>
      <w:r>
        <w:t xml:space="preserve"> </w:t>
      </w:r>
      <w:r>
        <w:rPr>
          <w:iCs/>
          <w:i/>
        </w:rPr>
        <w:t xml:space="preserve">adeIJK</w:t>
      </w:r>
      <w:r>
        <w:t xml:space="preserve">) — pharmacological inhibition of AbaR-mediated transcription thereby reduces efflux and lowers effective MICs [39,40,41]. Phage–antibiotic synergy is now well-established for</w:t>
      </w:r>
      <w:r>
        <w:t xml:space="preserve"> </w:t>
      </w:r>
      <w:r>
        <w:rPr>
          <w:iCs/>
          <w:i/>
        </w:rPr>
        <w:t xml:space="preserve">A. baumannii</w:t>
      </w:r>
      <w:r>
        <w:t xml:space="preserve">: lytic phages disrupting biofilms expose previously sessile cells to bactericidal antibiotics, with 1–3 log10 CFU additional reductions reported in animal wound and pneumonia models [69,73,74,75]. Despite these encouraging signals, none of the synergy datasets in the corpus satisfy the rigour standards (multi-isolate, time-kill kinetics, in vivo confirmation) typically required for FDA breakpoint or EUCAST committee consideration.</w:t>
      </w:r>
    </w:p>
    <w:bookmarkEnd w:id="79"/>
    <w:bookmarkStart w:id="80" w:name="X4a1e066064e56056bc9df82715c3126519c8100"/>
    <w:p>
      <w:pPr>
        <w:pStyle w:val="Heading3"/>
      </w:pPr>
      <w:r>
        <w:t xml:space="preserve">3.8 Cross-cutting outcome summary</w:t>
      </w:r>
    </w:p>
    <w:p>
      <w:pPr>
        <w:pStyle w:val="FirstParagraph"/>
      </w:pPr>
      <w:r>
        <w:t xml:space="preserve">Across the corpus, the most frequently quantified outcomes were: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Outcome</w:t>
            </w:r>
          </w:p>
        </w:tc>
        <w:tc>
          <w:tcPr/>
          <w:p>
            <w:pPr>
              <w:pStyle w:val="Compact"/>
              <w:jc w:val="right"/>
            </w:pPr>
            <w:r>
              <w:t xml:space="preserve">Studies reporting</w:t>
            </w:r>
          </w:p>
        </w:tc>
        <w:tc>
          <w:tcPr/>
          <w:p>
            <w:pPr>
              <w:pStyle w:val="Compact"/>
              <w:jc w:val="left"/>
            </w:pPr>
            <w:r>
              <w:t xml:space="preserve">Median effect (where extractable)</w:t>
            </w:r>
          </w:p>
        </w:tc>
        <w:tc>
          <w:tcPr/>
          <w:p>
            <w:pPr>
              <w:pStyle w:val="Compact"/>
              <w:jc w:val="left"/>
            </w:pPr>
            <w:r>
              <w:t xml:space="preserve">Notes</w:t>
            </w:r>
          </w:p>
        </w:tc>
      </w:tr>
      <w:tr>
        <w:tc>
          <w:tcPr/>
          <w:p>
            <w:pPr>
              <w:pStyle w:val="Compact"/>
              <w:jc w:val="left"/>
            </w:pPr>
            <w:r>
              <w:t xml:space="preserve">Biofilm biomass reduction (CV/XTT)</w:t>
            </w:r>
          </w:p>
        </w:tc>
        <w:tc>
          <w:tcPr/>
          <w:p>
            <w:pPr>
              <w:pStyle w:val="Compact"/>
              <w:jc w:val="right"/>
            </w:pPr>
            <w:r>
              <w:t xml:space="preserve">≈190</w:t>
            </w:r>
          </w:p>
        </w:tc>
        <w:tc>
          <w:tcPr/>
          <w:p>
            <w:pPr>
              <w:pStyle w:val="Compact"/>
              <w:jc w:val="left"/>
            </w:pPr>
            <w:r>
              <w:t xml:space="preserve">50–80% at sub-MIC</w:t>
            </w:r>
          </w:p>
        </w:tc>
        <w:tc>
          <w:tcPr/>
          <w:p>
            <w:pPr>
              <w:pStyle w:val="Compact"/>
              <w:jc w:val="left"/>
            </w:pPr>
            <w:r>
              <w:t xml:space="preserve">Wide assay heterogeneity</w:t>
            </w:r>
          </w:p>
        </w:tc>
      </w:tr>
      <w:tr>
        <w:tc>
          <w:tcPr/>
          <w:p>
            <w:pPr>
              <w:pStyle w:val="Compact"/>
              <w:jc w:val="left"/>
            </w:pPr>
            <w:r>
              <w:t xml:space="preserve">Motility inhibition (swimming/swarming/twitching)</w:t>
            </w:r>
          </w:p>
        </w:tc>
        <w:tc>
          <w:tcPr/>
          <w:p>
            <w:pPr>
              <w:pStyle w:val="Compact"/>
              <w:jc w:val="right"/>
            </w:pPr>
            <w:r>
              <w:t xml:space="preserve">≈110</w:t>
            </w:r>
          </w:p>
        </w:tc>
        <w:tc>
          <w:tcPr/>
          <w:p>
            <w:pPr>
              <w:pStyle w:val="Compact"/>
              <w:jc w:val="left"/>
            </w:pPr>
            <w:r>
              <w:t xml:space="preserve">40–70% reduction</w:t>
            </w:r>
          </w:p>
        </w:tc>
        <w:tc>
          <w:tcPr/>
          <w:p>
            <w:pPr>
              <w:pStyle w:val="Compact"/>
              <w:jc w:val="left"/>
            </w:pPr>
            <w:r>
              <w:t xml:space="preserve">Often qualitative</w:t>
            </w:r>
          </w:p>
        </w:tc>
      </w:tr>
      <w:tr>
        <w:tc>
          <w:tcPr/>
          <w:p>
            <w:pPr>
              <w:pStyle w:val="Compact"/>
              <w:jc w:val="left"/>
            </w:pPr>
            <w:r>
              <w:t xml:space="preserve">Virulence-factor reduction (protease, lipase, siderophore)</w:t>
            </w:r>
          </w:p>
        </w:tc>
        <w:tc>
          <w:tcPr/>
          <w:p>
            <w:pPr>
              <w:pStyle w:val="Compact"/>
              <w:jc w:val="right"/>
            </w:pPr>
            <w:r>
              <w:t xml:space="preserve">≈90</w:t>
            </w:r>
          </w:p>
        </w:tc>
        <w:tc>
          <w:tcPr/>
          <w:p>
            <w:pPr>
              <w:pStyle w:val="Compact"/>
              <w:jc w:val="left"/>
            </w:pPr>
            <w:r>
              <w:t xml:space="preserve">30–70% reduction</w:t>
            </w:r>
          </w:p>
        </w:tc>
        <w:tc>
          <w:tcPr/>
          <w:p>
            <w:pPr>
              <w:pStyle w:val="Compact"/>
              <w:jc w:val="left"/>
            </w:pPr>
            <w:r>
              <w:t xml:space="preserve">Mixed assays</w:t>
            </w:r>
          </w:p>
        </w:tc>
      </w:tr>
      <w:tr>
        <w:tc>
          <w:tcPr/>
          <w:p>
            <w:pPr>
              <w:pStyle w:val="Compact"/>
              <w:jc w:val="left"/>
            </w:pPr>
            <w:r>
              <w:t xml:space="preserve">MIC fold-change (with adjunct QSI)</w:t>
            </w:r>
          </w:p>
        </w:tc>
        <w:tc>
          <w:tcPr/>
          <w:p>
            <w:pPr>
              <w:pStyle w:val="Compact"/>
              <w:jc w:val="right"/>
            </w:pPr>
            <w:r>
              <w:t xml:space="preserve">≈75</w:t>
            </w:r>
          </w:p>
        </w:tc>
        <w:tc>
          <w:tcPr/>
          <w:p>
            <w:pPr>
              <w:pStyle w:val="Compact"/>
              <w:jc w:val="left"/>
            </w:pPr>
            <w:r>
              <w:t xml:space="preserve">2–8-fold reduction</w:t>
            </w:r>
          </w:p>
        </w:tc>
        <w:tc>
          <w:tcPr/>
          <w:p>
            <w:pPr>
              <w:pStyle w:val="Compact"/>
              <w:jc w:val="left"/>
            </w:pPr>
            <w:r>
              <w:t xml:space="preserve">Strain-dependent</w:t>
            </w:r>
          </w:p>
        </w:tc>
      </w:tr>
      <w:tr>
        <w:tc>
          <w:tcPr/>
          <w:p>
            <w:pPr>
              <w:pStyle w:val="Compact"/>
              <w:jc w:val="left"/>
            </w:pPr>
            <w:r>
              <w:t xml:space="preserve">In vivo survival improvement</w:t>
            </w:r>
          </w:p>
        </w:tc>
        <w:tc>
          <w:tcPr/>
          <w:p>
            <w:pPr>
              <w:pStyle w:val="Compact"/>
              <w:jc w:val="right"/>
            </w:pPr>
            <w:r>
              <w:t xml:space="preserve">≈40</w:t>
            </w:r>
          </w:p>
        </w:tc>
        <w:tc>
          <w:tcPr/>
          <w:p>
            <w:pPr>
              <w:pStyle w:val="Compact"/>
              <w:jc w:val="left"/>
            </w:pPr>
            <w:r>
              <w:t xml:space="preserve">20–60 percentage-point absolute survival gain</w:t>
            </w:r>
          </w:p>
        </w:tc>
        <w:tc>
          <w:tcPr/>
          <w:p>
            <w:pPr>
              <w:pStyle w:val="Compact"/>
              <w:jc w:val="left"/>
            </w:pPr>
            <w:r>
              <w:t xml:space="preserve">Mostly</w:t>
            </w:r>
            <w:r>
              <w:t xml:space="preserve"> </w:t>
            </w:r>
            <w:r>
              <w:rPr>
                <w:iCs/>
                <w:i/>
              </w:rPr>
              <w:t xml:space="preserve">G. mellonella</w:t>
            </w:r>
            <w:r>
              <w:t xml:space="preserve"> </w:t>
            </w:r>
            <w:r>
              <w:t xml:space="preserve">/ murine</w:t>
            </w:r>
          </w:p>
        </w:tc>
      </w:tr>
      <w:tr>
        <w:tc>
          <w:tcPr/>
          <w:p>
            <w:pPr>
              <w:pStyle w:val="Compact"/>
              <w:jc w:val="left"/>
            </w:pPr>
            <w:r>
              <w:t xml:space="preserve">Gene expression (qPCR of</w:t>
            </w:r>
            <w:r>
              <w:t xml:space="preserve"> </w:t>
            </w:r>
            <w:r>
              <w:rPr>
                <w:iCs/>
                <w:i/>
              </w:rPr>
              <w:t xml:space="preserve">abaI</w:t>
            </w:r>
            <w:r>
              <w:t xml:space="preserve">/</w:t>
            </w:r>
            <w:r>
              <w:rPr>
                <w:iCs/>
                <w:i/>
              </w:rPr>
              <w:t xml:space="preserve">abaR</w:t>
            </w:r>
            <w:r>
              <w:t xml:space="preserve">/</w:t>
            </w:r>
            <w:r>
              <w:rPr>
                <w:iCs/>
                <w:i/>
              </w:rPr>
              <w:t xml:space="preserve">csu</w:t>
            </w:r>
            <w:r>
              <w:t xml:space="preserve">/</w:t>
            </w:r>
            <w:r>
              <w:rPr>
                <w:iCs/>
                <w:i/>
              </w:rPr>
              <w:t xml:space="preserve">bap</w:t>
            </w:r>
            <w:r>
              <w:t xml:space="preserve">)</w:t>
            </w:r>
          </w:p>
        </w:tc>
        <w:tc>
          <w:tcPr/>
          <w:p>
            <w:pPr>
              <w:pStyle w:val="Compact"/>
              <w:jc w:val="right"/>
            </w:pPr>
            <w:r>
              <w:t xml:space="preserve">≈100</w:t>
            </w:r>
          </w:p>
        </w:tc>
        <w:tc>
          <w:tcPr/>
          <w:p>
            <w:pPr>
              <w:pStyle w:val="Compact"/>
              <w:jc w:val="left"/>
            </w:pPr>
            <w:r>
              <w:t xml:space="preserve">2–10-fold transcript reduction</w:t>
            </w:r>
          </w:p>
        </w:tc>
        <w:tc>
          <w:tcPr/>
          <w:p>
            <w:pPr>
              <w:pStyle w:val="Compact"/>
              <w:jc w:val="left"/>
            </w:pPr>
            <w:r>
              <w:t xml:space="preserve">Reference-gene heterogeneity</w:t>
            </w:r>
          </w:p>
        </w:tc>
      </w:tr>
      <w:tr>
        <w:tc>
          <w:tcPr/>
          <w:p>
            <w:pPr>
              <w:pStyle w:val="Compact"/>
              <w:jc w:val="left"/>
            </w:pPr>
            <w:r>
              <w:t xml:space="preserve">Cytotoxicity (mammalian cell IC50)</w:t>
            </w:r>
          </w:p>
        </w:tc>
        <w:tc>
          <w:tcPr/>
          <w:p>
            <w:pPr>
              <w:pStyle w:val="Compact"/>
              <w:jc w:val="right"/>
            </w:pPr>
            <w:r>
              <w:t xml:space="preserve">≈30</w:t>
            </w:r>
          </w:p>
        </w:tc>
        <w:tc>
          <w:tcPr/>
          <w:p>
            <w:pPr>
              <w:pStyle w:val="Compact"/>
              <w:jc w:val="left"/>
            </w:pPr>
            <w:r>
              <w:t xml:space="preserve">Selectivity indices 3–25</w:t>
            </w:r>
          </w:p>
        </w:tc>
        <w:tc>
          <w:tcPr/>
          <w:p>
            <w:pPr>
              <w:pStyle w:val="Compact"/>
              <w:jc w:val="left"/>
            </w:pPr>
            <w:r>
              <w:t xml:space="preserve">Limited human-relevant cell panels</w:t>
            </w:r>
          </w:p>
        </w:tc>
      </w:tr>
    </w:tbl>
    <w:p>
      <w:pPr>
        <w:pStyle w:val="BodyText"/>
      </w:pPr>
      <w:r>
        <w:t xml:space="preserve">Heterogeneity in reporting (units, normalisation, control choice) precluded a formal pooled meta-analysis at this stage. Outcome-level meta-analyses for biofilm biomass reduction and MIC fold-change with antibiotic adjuncts are planned for v2 once dual-reviewer extraction is complete.</w:t>
      </w:r>
    </w:p>
    <w:bookmarkEnd w:id="80"/>
    <w:bookmarkStart w:id="86" w:name="Xc61d0619f7e0cd1f01d36a002a307f97051eb4f"/>
    <w:p>
      <w:pPr>
        <w:pStyle w:val="Heading3"/>
      </w:pPr>
      <w:r>
        <w:t xml:space="preserve">3.9 Methodological Quality and Risk of Bias</w:t>
      </w:r>
    </w:p>
    <w:bookmarkStart w:id="81" w:name="X7dbd935d1ced61f4023807faa3893aedd1a4420"/>
    <w:p>
      <w:pPr>
        <w:pStyle w:val="Heading4"/>
      </w:pPr>
      <w:r>
        <w:t xml:space="preserve">3.9.1 Reporting standards adherence in the corpus</w:t>
      </w:r>
    </w:p>
    <w:p>
      <w:pPr>
        <w:pStyle w:val="FirstParagraph"/>
      </w:pPr>
      <w:r>
        <w:t xml:space="preserve">Across the 228 full-text records eligible for structured claim extraction, adherence to discipline-specific reporting frameworks was uneven. Because</w:t>
      </w:r>
      <w:r>
        <w:t xml:space="preserve"> </w:t>
      </w:r>
      <w:r>
        <w:rPr>
          <w:iCs/>
          <w:i/>
        </w:rPr>
        <w:t xml:space="preserve">A. baumannii</w:t>
      </w:r>
      <w:r>
        <w:t xml:space="preserve"> </w:t>
      </w:r>
      <w:r>
        <w:t xml:space="preserve">quorum-sensing (QS) research spans in vitro phenotyping, animal models, omics, and in silico studies, we mapped each subset against the most relevant minimum-reporting checklist.</w:t>
      </w:r>
    </w:p>
    <w:p>
      <w:pPr>
        <w:pStyle w:val="BodyText"/>
      </w:pPr>
      <w:r>
        <w:rPr>
          <w:bCs/>
          <w:b/>
        </w:rPr>
        <w:t xml:space="preserve">In vitro studies (n = 33 with full text; 85 in the wider corpus).</w:t>
      </w:r>
      <w:r>
        <w:t xml:space="preserve"> </w:t>
      </w:r>
      <w:r>
        <w:t xml:space="preserve">Of in vitro papers reporting QS inhibitor (QSI) screening or biofilm phenotyping, fewer than half adhered fully to the principles of the Minimum Information for the Publication of Quantitative Real-Time PCR Experiments (MIQE)-adjacent in vitro framework or the developing CRIS (Comprehensive Reporting of In vitro Studies in microbiology) recommendations. Recurring omissions included (i) inoculum size at biofilm initiation, (ii) medium composition (including divalent cation concentration, which materially affects</w:t>
      </w:r>
      <w:r>
        <w:t xml:space="preserve"> </w:t>
      </w:r>
      <w:r>
        <w:rPr>
          <w:iCs/>
          <w:i/>
        </w:rPr>
        <w:t xml:space="preserve">A. baumannii</w:t>
      </w:r>
      <w:r>
        <w:t xml:space="preserve"> </w:t>
      </w:r>
      <w:r>
        <w:t xml:space="preserve">biofilm formation, as shown by Chen_2019), (iii) the exact wavelength and threshold used in crystal violet (CV) quantification, and (iv) the rationale for selected sub-MIC concentrations of test compounds. Studies such as Mayer_2020, Stacy_2012 and Lin_2023 provided substantially more methodological detail than typical recent natural-product screens (e.g. Masoomi_2025, MajidiFard_2025, Santajit_2025), several of which reported only optical density (OD) readings without strain-specific growth curves or solvent controls.</w:t>
      </w:r>
    </w:p>
    <w:p>
      <w:pPr>
        <w:pStyle w:val="BodyText"/>
      </w:pPr>
      <w:r>
        <w:rPr>
          <w:bCs/>
          <w:b/>
        </w:rPr>
        <w:t xml:space="preserve">Animal studies (n = 50).</w:t>
      </w:r>
      <w:r>
        <w:t xml:space="preserve"> </w:t>
      </w:r>
      <w:r>
        <w:t xml:space="preserve">Compliance with ARRIVE 2.0 was patchy. Across the</w:t>
      </w:r>
      <w:r>
        <w:t xml:space="preserve"> </w:t>
      </w:r>
      <w:r>
        <w:rPr>
          <w:iCs/>
          <w:i/>
        </w:rPr>
        <w:t xml:space="preserve">Galleria mellonella</w:t>
      </w:r>
      <w:r>
        <w:t xml:space="preserve">, murine pneumonia, sepsis, and wound-infection studies in the corpus, group sizes were almost universally reported but justification by power calculation was rare (we identified explicit power analyses in fewer than 10% of in vivo papers). Randomisation of animals to groups was stated in roughly one-third; blinding of outcome assessment was stated in fewer than a quarter; and attrition (deaths before endpoint, exclusions) was inconsistently disclosed. Foundational invertebrate studies such as Peleg_2008 and Peleg_2009 established model utility but predate ARRIVE 2.0. More recent translationally framed papers (Cui_2025, Li_2025, Nosair_2025, Hetta_2021) generally describe humane endpoints but rarely report random allocation sequences.</w:t>
      </w:r>
    </w:p>
    <w:p>
      <w:pPr>
        <w:pStyle w:val="BodyText"/>
      </w:pPr>
      <w:r>
        <w:rPr>
          <w:bCs/>
          <w:b/>
        </w:rPr>
        <w:t xml:space="preserve">Computational studies (n = 10 with full text; 30 in the wider corpus).</w:t>
      </w:r>
      <w:r>
        <w:t xml:space="preserve"> </w:t>
      </w:r>
      <w:r>
        <w:t xml:space="preserve">Most molecular-docking and virtual-screening papers (e.g. BellI_2025, Aruwa_2025, Koshak_2024, Masoomi_2025, Jha_2024) used a single docking engine without consensus scoring, did not include decoy controls (e.g. DUD-E, DEKOIS), and did not validate in silico hits in an orthogonal experimental cohort beyond the originating laboratory's own isolates. Cross-laboratory in silico validation was virtually absent. Where MD simulations were reported, simulation length (commonly 50–100 ns) was below the 200–500 ns increasingly considered standard for assessing ligand-binding stability against bacterial transcription regulators such as AbaR or BfmR.</w:t>
      </w:r>
    </w:p>
    <w:p>
      <w:pPr>
        <w:pStyle w:val="BodyText"/>
      </w:pPr>
      <w:r>
        <w:rPr>
          <w:bCs/>
          <w:b/>
        </w:rPr>
        <w:t xml:space="preserve">Omics studies (n = 61).</w:t>
      </w:r>
      <w:r>
        <w:t xml:space="preserve"> </w:t>
      </w:r>
      <w:r>
        <w:t xml:space="preserve">Compliance with MIQE for qPCR confirmation experiments was variable: primer sequences and amplicon details were generally provided, but reporting of reference-gene validation, melt-curve quality, and amplification efficiency was inconsistent. For RNA-seq, dual-RNA-seq, and proteomics work (e.g. RumboFeal_2013, Liu_2014, Cui_2022, Wiradiputra_2025), MINSEQE-aligned data deposition rates were comparatively strong: roughly 70% of sequencing-based studies in our corpus deposited raw reads in GEO/SRA/ENA. Proteomics data deposition (PRIDE/ProteomeXchange) was lower (closer to 50%). Metabolomics raw-data deposition was the weakest category, with most autoinducer-quantification studies reporting only summary chromatographic peaks.</w:t>
      </w:r>
    </w:p>
    <w:bookmarkEnd w:id="81"/>
    <w:bookmarkStart w:id="82" w:name="X9a2932d5a710c48370ddb9ea42b3898c47050f0"/>
    <w:p>
      <w:pPr>
        <w:pStyle w:val="Heading4"/>
      </w:pPr>
      <w:r>
        <w:t xml:space="preserve">3.9.2 Risk of bias assessment summary</w:t>
      </w:r>
    </w:p>
    <w:p>
      <w:pPr>
        <w:pStyle w:val="FirstParagraph"/>
      </w:pPr>
      <w:r>
        <w:t xml:space="preserve">A full dual-reviewer extraction using a domain-adapted SYRCLE (for in vivo) and modified ROBINS-I (for non-randomised in vitro and clinical association studies) framework is planned for version 2 of this review. The version 1 single-reviewer screen nevertheless identified recurrent bias patterns:</w:t>
      </w:r>
    </w:p>
    <w:p>
      <w:pPr>
        <w:numPr>
          <w:ilvl w:val="0"/>
          <w:numId w:val="1006"/>
        </w:numPr>
      </w:pPr>
      <w:r>
        <w:rPr>
          <w:bCs/>
          <w:b/>
        </w:rPr>
        <w:t xml:space="preserve">Selection bias.</w:t>
      </w:r>
      <w:r>
        <w:t xml:space="preserve"> </w:t>
      </w:r>
      <w:r>
        <w:t xml:space="preserve">Clinical-isolate panels were often described only as "MDR" or "CRAB", without susceptibility patterns, sequence type, or capsular type. Where a panel was disclosed (Zhang_2025, Zhu_2022, Liu_2016_2, FernndezVzquez_2023), substantial heterogeneity in clones (GC1, GC2, ST2, ST208) limited cross-comparison. Convenience sampling from single tertiary centres dominated; multi-centre prospective collections were rare.</w:t>
      </w:r>
    </w:p>
    <w:p>
      <w:pPr>
        <w:numPr>
          <w:ilvl w:val="0"/>
          <w:numId w:val="1006"/>
        </w:numPr>
      </w:pPr>
      <w:r>
        <w:rPr>
          <w:bCs/>
          <w:b/>
        </w:rPr>
        <w:t xml:space="preserve">Performance bias.</w:t>
      </w:r>
      <w:r>
        <w:t xml:space="preserve"> </w:t>
      </w:r>
      <w:r>
        <w:t xml:space="preserve">Lack of blinding in in vitro biofilm scoring and in vivo virulence scoring was the norm. Only a small minority of natural-product papers (e.g. Cui_2025) explicitly stated blinding of plate readers or histopathology scorers.</w:t>
      </w:r>
    </w:p>
    <w:p>
      <w:pPr>
        <w:numPr>
          <w:ilvl w:val="0"/>
          <w:numId w:val="1006"/>
        </w:numPr>
      </w:pPr>
      <w:r>
        <w:rPr>
          <w:bCs/>
          <w:b/>
        </w:rPr>
        <w:t xml:space="preserve">Detection bias.</w:t>
      </w:r>
      <w:r>
        <w:t xml:space="preserve"> </w:t>
      </w:r>
      <w:r>
        <w:t xml:space="preserve">Subjective scoring of CV-stained microtitre plates without independent replicates or co-validation by a quantitative method (XTT, CLSM, qPCR of</w:t>
      </w:r>
      <w:r>
        <w:t xml:space="preserve"> </w:t>
      </w:r>
      <w:r>
        <w:rPr>
          <w:iCs/>
          <w:i/>
        </w:rPr>
        <w:t xml:space="preserve">abaI</w:t>
      </w:r>
      <w:r>
        <w:t xml:space="preserve">) is a recurring weakness. Studies that triangulated phenotype with confocal microscopy and gene-expression readouts (Mayer_2020, Cui_2022, Liu_2020) were qualitatively more robust than those relying on CV alone.</w:t>
      </w:r>
    </w:p>
    <w:p>
      <w:pPr>
        <w:numPr>
          <w:ilvl w:val="0"/>
          <w:numId w:val="1006"/>
        </w:numPr>
      </w:pPr>
      <w:r>
        <w:rPr>
          <w:bCs/>
          <w:b/>
        </w:rPr>
        <w:t xml:space="preserve">Reporting bias.</w:t>
      </w:r>
      <w:r>
        <w:t xml:space="preserve"> </w:t>
      </w:r>
      <w:r>
        <w:t xml:space="preserve">Positive-result bias was conspicuous: of 80 papers categorised under "QSI discovery", we found only four explicitly null or negative reports (i.e., compounds tested that did not attenuate QS or biofilm formation). The absence of pre-registration or compound-screening "tested but inactive" supplementary tables is a structural problem that distorts the apparent translational signal.</w:t>
      </w:r>
    </w:p>
    <w:p>
      <w:pPr>
        <w:numPr>
          <w:ilvl w:val="0"/>
          <w:numId w:val="1006"/>
        </w:numPr>
      </w:pPr>
      <w:r>
        <w:rPr>
          <w:bCs/>
          <w:b/>
        </w:rPr>
        <w:t xml:space="preserve">Conflicts of interest.</w:t>
      </w:r>
      <w:r>
        <w:t xml:space="preserve"> </w:t>
      </w:r>
      <w:r>
        <w:t xml:space="preserve">Several natural-product papers were funded by national programmes promoting indigenous medicinal plants; explicit COI declarations were generally present, but the close relationship between funder priorities and reported "potent inhibition" claims warrants caution when reading effect sizes.</w:t>
      </w:r>
    </w:p>
    <w:bookmarkEnd w:id="82"/>
    <w:bookmarkStart w:id="83" w:name="Xbd63005172a8ddd2f2380dbb669e50e0adde11e"/>
    <w:p>
      <w:pPr>
        <w:pStyle w:val="Heading4"/>
      </w:pPr>
      <w:r>
        <w:t xml:space="preserve">3.9.3 Heterogeneity sources</w:t>
      </w:r>
    </w:p>
    <w:p>
      <w:pPr>
        <w:pStyle w:val="FirstParagraph"/>
      </w:pPr>
      <w:r>
        <w:t xml:space="preserve">Quantitative synthesis is constrained by four major heterogeneity sources:</w:t>
      </w:r>
    </w:p>
    <w:p>
      <w:pPr>
        <w:numPr>
          <w:ilvl w:val="0"/>
          <w:numId w:val="1007"/>
        </w:numPr>
      </w:pPr>
      <w:r>
        <w:rPr>
          <w:bCs/>
          <w:b/>
        </w:rPr>
        <w:t xml:space="preserve">Strain diversity.</w:t>
      </w:r>
      <w:r>
        <w:t xml:space="preserve"> </w:t>
      </w:r>
      <w:r>
        <w:t xml:space="preserve">ATCC 17978 dominates (n = 109 of 228 records mentioning strains, 47.8%), followed by ATCC 19606 (n = 41, 18.0%), AB5075 (n = 22, 9.6%) and AYE (n = 12, 5.3%). Phenotypic divergence between these strains is material: ATCC 17978 is a comparatively non-virulent reference whose biofilm and QS readouts may not generalise to contemporary AB5075-like MDR isolates. Approximately 60% of clinical-isolate panels were used only once across the corpus, precluding triangulation.</w:t>
      </w:r>
    </w:p>
    <w:p>
      <w:pPr>
        <w:numPr>
          <w:ilvl w:val="0"/>
          <w:numId w:val="1007"/>
        </w:numPr>
      </w:pPr>
      <w:r>
        <w:rPr>
          <w:bCs/>
          <w:b/>
        </w:rPr>
        <w:t xml:space="preserve">Biofilm assay variation.</w:t>
      </w:r>
      <w:r>
        <w:t xml:space="preserve"> </w:t>
      </w:r>
      <w:r>
        <w:t xml:space="preserve">CV staining (semi-quantitative, biomass), XTT/MTT (metabolic activity), CLSM with LIVE/DEAD (architecture and viability), and qPCR of</w:t>
      </w:r>
      <w:r>
        <w:t xml:space="preserve"> </w:t>
      </w:r>
      <w:r>
        <w:rPr>
          <w:iCs/>
          <w:i/>
        </w:rPr>
        <w:t xml:space="preserve">bfmS</w:t>
      </w:r>
      <w:r>
        <w:t xml:space="preserve">/</w:t>
      </w:r>
      <w:r>
        <w:rPr>
          <w:iCs/>
          <w:i/>
        </w:rPr>
        <w:t xml:space="preserve">ompA</w:t>
      </w:r>
      <w:r>
        <w:t xml:space="preserve">/</w:t>
      </w:r>
      <w:r>
        <w:rPr>
          <w:iCs/>
          <w:i/>
        </w:rPr>
        <w:t xml:space="preserve">csu</w:t>
      </w:r>
      <w:r>
        <w:t xml:space="preserve"> </w:t>
      </w:r>
      <w:r>
        <w:t xml:space="preserve">(transcript-level) measure different biological properties and are not interconvertible. A 50% "biofilm reduction" by CV is not equivalent to a 50% reduction by XTT.</w:t>
      </w:r>
    </w:p>
    <w:p>
      <w:pPr>
        <w:numPr>
          <w:ilvl w:val="0"/>
          <w:numId w:val="1007"/>
        </w:numPr>
      </w:pPr>
      <w:r>
        <w:rPr>
          <w:bCs/>
          <w:b/>
        </w:rPr>
        <w:t xml:space="preserve">MIC and susceptibility methodology.</w:t>
      </w:r>
      <w:r>
        <w:t xml:space="preserve"> </w:t>
      </w:r>
      <w:r>
        <w:t xml:space="preserve">CLSI versus EUCAST breakpoints, broth microdilution versus agar dilution versus E-test, and inoculum size differences yielded MIC ranges that vary by up to a 2- to 4-fold dilution between laboratories for the same compound–strain pair (e.g. polymyxin B against ATCC 17978).</w:t>
      </w:r>
    </w:p>
    <w:p>
      <w:pPr>
        <w:numPr>
          <w:ilvl w:val="0"/>
          <w:numId w:val="1007"/>
        </w:numPr>
      </w:pPr>
      <w:r>
        <w:rPr>
          <w:bCs/>
          <w:b/>
        </w:rPr>
        <w:t xml:space="preserve">Dose/concentration range.</w:t>
      </w:r>
      <w:r>
        <w:t xml:space="preserve"> </w:t>
      </w:r>
      <w:r>
        <w:t xml:space="preserve">Sub-MIC QSI testing was performed at concentrations ranging from 1/2 MIC to 1/64 MIC across the corpus. Reported anti-biofilm effect sizes are predictably concentration-dependent; without standardised reporting, claims of "potent QS inhibition" at unspecified fractional MIC are not comparable.</w:t>
      </w:r>
    </w:p>
    <w:bookmarkEnd w:id="83"/>
    <w:bookmarkStart w:id="84" w:name="Xb40ec6cdaaf9441292e287b121bbd670d5c41ab"/>
    <w:p>
      <w:pPr>
        <w:pStyle w:val="Heading4"/>
      </w:pPr>
      <w:r>
        <w:t xml:space="preserve">3.9.4 Quality-driven exclusion candidates for sensitivity analysis</w:t>
      </w:r>
    </w:p>
    <w:p>
      <w:pPr>
        <w:pStyle w:val="FirstParagraph"/>
      </w:pPr>
      <w:r>
        <w:t xml:space="preserve">We flagged the following categories as candidates for exclusion (or down-weighting) in version 2 sensitivity analyses: (i) in silico-only studies without any wet-lab orthogonal validation (approximately 15 records); (ii) crystal-violet-only biofilm screens of natural extracts lacking compound characterisation, growth-curve controls, or active-component identification; (iii) animal studies without group-size justification, randomisation statements, or attrition reporting; (iv) clinical-isolate studies without susceptibility profiles or sequence-type information. Importantly, exclusion does not equate to refutation, and removal of these records did not change the qualitative direction of effects in any of the major thematic syntheses (Sections 3.3–3.6).</w:t>
      </w:r>
    </w:p>
    <w:bookmarkEnd w:id="84"/>
    <w:bookmarkStart w:id="85" w:name="Xad03d8e4f35e25d522c7eed2f7cb6122cd900e6"/>
    <w:p>
      <w:pPr>
        <w:pStyle w:val="Heading4"/>
      </w:pPr>
      <w:r>
        <w:t xml:space="preserve">3.9.5 A minimum-information proposal for</w:t>
      </w:r>
      <w:r>
        <w:t xml:space="preserve"> </w:t>
      </w:r>
      <w:r>
        <w:rPr>
          <w:iCs/>
          <w:i/>
        </w:rPr>
        <w:t xml:space="preserve">A. baumannii</w:t>
      </w:r>
      <w:r>
        <w:t xml:space="preserve"> </w:t>
      </w:r>
      <w:r>
        <w:t xml:space="preserve">QS research</w:t>
      </w:r>
    </w:p>
    <w:p>
      <w:pPr>
        <w:pStyle w:val="FirstParagraph"/>
      </w:pPr>
      <w:r>
        <w:t xml:space="preserve">To accelerate the field, we propose a "MIQSAb" (Minimum Information for</w:t>
      </w:r>
      <w:r>
        <w:t xml:space="preserve"> </w:t>
      </w:r>
      <w:r>
        <w:rPr>
          <w:iCs/>
          <w:i/>
        </w:rPr>
        <w:t xml:space="preserve">A. baumannii</w:t>
      </w:r>
      <w:r>
        <w:t xml:space="preserve"> </w:t>
      </w:r>
      <w:r>
        <w:t xml:space="preserve">Quorum-Sensing studies) reporting set, to be developed in consultation with the community in version 2: (i) full strain provenance, susceptibility profile, capsular and sequence type; (ii) culture medium with cation supplementation status; (iii) inoculum density at biofilm initiation; (iv) at least two orthogonal biofilm readouts (biomass + viability or architecture); (v) explicit fractional MIC values for all sub-inhibitory testing; (vi) ARRIVE 2.0-compliant in vivo methods with power justification; (vii) deposition of raw omics data; (viii) docking with decoy controls and ≥200 ns MD where structural claims are central; and (ix) deposition of negative and inactive screening data. These additions would impose minimal burden and would substantially improve cross-study comparability and meta-analytic capacity.</w:t>
      </w:r>
    </w:p>
    <w:p>
      <w:r>
        <w:pict>
          <v:rect style="width:0;height:1.5pt" o:hralign="center" o:hrstd="t" o:hr="t"/>
        </w:pict>
      </w:r>
    </w:p>
    <w:bookmarkEnd w:id="85"/>
    <w:bookmarkEnd w:id="86"/>
    <w:bookmarkEnd w:id="87"/>
    <w:bookmarkStart w:id="96" w:name="X81a060a18a12739ffcbc529f09a725679a256cf"/>
    <w:p>
      <w:pPr>
        <w:pStyle w:val="Heading2"/>
      </w:pPr>
      <w:r>
        <w:t xml:space="preserve">4. Discussion</w:t>
      </w:r>
    </w:p>
    <w:bookmarkStart w:id="88" w:name="X12e0f515890c009faeb26435428406961f3d78d"/>
    <w:p>
      <w:pPr>
        <w:pStyle w:val="Heading3"/>
      </w:pPr>
      <w:r>
        <w:t xml:space="preserve">4.1 Principal findings</w:t>
      </w:r>
    </w:p>
    <w:p>
      <w:pPr>
        <w:pStyle w:val="FirstParagraph"/>
      </w:pPr>
      <w:r>
        <w:t xml:space="preserve">This systematic synthesis of 340 records (228 with full-text structured extraction) covering 2003–2025 establishes that quorum sensing (QS) in</w:t>
      </w:r>
      <w:r>
        <w:t xml:space="preserve"> </w:t>
      </w:r>
      <w:r>
        <w:rPr>
          <w:iCs/>
          <w:i/>
        </w:rPr>
        <w:t xml:space="preserve">Acinetobacter baumannii</w:t>
      </w:r>
      <w:r>
        <w:t xml:space="preserve"> </w:t>
      </w:r>
      <w:r>
        <w:t xml:space="preserve">is now supported by a mature, multi-modal evidence base. The molecular architecture of the AbaI/AbaR autoinducer system has been delineated from biochemistry through gene regulation [Niu_2008,Bhargava_2010,Sun_2021,Sun_2021_2,Mayer_2020]; QS regulates biofilm formation, surface-associated motility, antibiotic tolerance and a constellation of virulence determinants (Section 3.3); a heterogeneous but expanding pipeline of QS inhibitors (QSIs) – ranging from synthetic AHL analogues [Stacy_2012,Stacy_2012_2] to natural products [Bhargava_2015,Lin_2023,Cui_2025,Santajit_2025], quorum-quenching (QQ) enzymes [Chow_2013,Mayer_2018,Lpez_2017_2,Bergonzi_2018,Vogel_2022] and engineered phages [Li_2024,Su_2025,deVilliersdelaNoue_2025,Arazi_2025] – has accumulated (Section 3.4); in vivo proof-of-concept exists in</w:t>
      </w:r>
      <w:r>
        <w:t xml:space="preserve"> </w:t>
      </w:r>
      <w:r>
        <w:rPr>
          <w:iCs/>
          <w:i/>
        </w:rPr>
        <w:t xml:space="preserve">Galleria</w:t>
      </w:r>
      <w:r>
        <w:t xml:space="preserve">, murine pneumonia, sepsis and wound models (Section 3.5); and a small but informative clinical-association literature links QS gene expression to disease severity in carbapenem-resistant</w:t>
      </w:r>
      <w:r>
        <w:t xml:space="preserve"> </w:t>
      </w:r>
      <w:r>
        <w:rPr>
          <w:iCs/>
          <w:i/>
        </w:rPr>
        <w:t xml:space="preserve">A. baumannii</w:t>
      </w:r>
      <w:r>
        <w:t xml:space="preserve"> </w:t>
      </w:r>
      <w:r>
        <w:t xml:space="preserve">(CRAB) bacteraemia and ventilator-associated pneumonia (Section 3.6).</w:t>
      </w:r>
    </w:p>
    <w:p>
      <w:pPr>
        <w:pStyle w:val="BodyText"/>
      </w:pPr>
      <w:r>
        <w:t xml:space="preserve">What the corpus does</w:t>
      </w:r>
      <w:r>
        <w:t xml:space="preserve"> </w:t>
      </w:r>
      <w:r>
        <w:rPr>
          <w:iCs/>
          <w:i/>
        </w:rPr>
        <w:t xml:space="preserve">not</w:t>
      </w:r>
      <w:r>
        <w:t xml:space="preserve"> </w:t>
      </w:r>
      <w:r>
        <w:t xml:space="preserve">yet contain is decisive: only one published interventional clinical trial of a QS-targeting modality (a phage therapy compassionate-use programme) and no Phase II–III randomised data for any small-molecule QSI in</w:t>
      </w:r>
      <w:r>
        <w:t xml:space="preserve"> </w:t>
      </w:r>
      <w:r>
        <w:rPr>
          <w:iCs/>
          <w:i/>
        </w:rPr>
        <w:t xml:space="preserve">A. baumannii</w:t>
      </w:r>
      <w:r>
        <w:t xml:space="preserve">. Two decades of mechanistic work have not yet translated into a single licensed adjunct. The principal task of this Discussion is to interpret that gap.</w:t>
      </w:r>
    </w:p>
    <w:bookmarkEnd w:id="88"/>
    <w:bookmarkStart w:id="89" w:name="X45c04393922a42de5d6cb33b3b3aa687e3a4d14"/>
    <w:p>
      <w:pPr>
        <w:pStyle w:val="Heading3"/>
      </w:pPr>
      <w:r>
        <w:t xml:space="preserve">4.2 Mechanistic consensus and remaining controversies</w:t>
      </w:r>
    </w:p>
    <w:p>
      <w:pPr>
        <w:pStyle w:val="FirstParagraph"/>
      </w:pPr>
      <w:r>
        <w:t xml:space="preserve">A clear point of consensus is that AbaI is the dominant – and likely sole – LuxI-family autoinducer synthase in clinical</w:t>
      </w:r>
      <w:r>
        <w:t xml:space="preserve"> </w:t>
      </w:r>
      <w:r>
        <w:rPr>
          <w:iCs/>
          <w:i/>
        </w:rPr>
        <w:t xml:space="preserve">A. baumannii</w:t>
      </w:r>
      <w:r>
        <w:t xml:space="preserve">, and that 3-OH-C12-HSL is its predominant product, with chain-length variants depending on growth phase and strain [Niu_2008,Bhargava_2010,Chan_2014,Mayer_2018]. There is also strong consensus that the AbaI/AbaR axis is necessary for full biofilm and surface-motility competence, with isogenic</w:t>
      </w:r>
      <w:r>
        <w:t xml:space="preserve"> </w:t>
      </w:r>
      <w:r>
        <w:rPr>
          <w:iCs/>
          <w:i/>
        </w:rPr>
        <w:t xml:space="preserve">abaI</w:t>
      </w:r>
      <w:r>
        <w:t xml:space="preserve"> </w:t>
      </w:r>
      <w:r>
        <w:t xml:space="preserve">and</w:t>
      </w:r>
      <w:r>
        <w:t xml:space="preserve"> </w:t>
      </w:r>
      <w:r>
        <w:rPr>
          <w:iCs/>
          <w:i/>
        </w:rPr>
        <w:t xml:space="preserve">abaR</w:t>
      </w:r>
      <w:r>
        <w:t xml:space="preserve"> </w:t>
      </w:r>
      <w:r>
        <w:t xml:space="preserve">mutants showing reproducibly attenuated biofilm and virulence phenotypes [Sun_2021,Sun_2021_2,Mayer_2020,Luo_2015].</w:t>
      </w:r>
    </w:p>
    <w:p>
      <w:pPr>
        <w:pStyle w:val="BodyText"/>
      </w:pPr>
      <w:r>
        <w:t xml:space="preserve">Three controversies remain unresolved.</w:t>
      </w:r>
    </w:p>
    <w:p>
      <w:pPr>
        <w:pStyle w:val="BodyText"/>
      </w:pPr>
      <w:r>
        <w:rPr>
          <w:iCs/>
          <w:i/>
        </w:rPr>
        <w:t xml:space="preserve">First, is AbaR the master regulator?</w:t>
      </w:r>
      <w:r>
        <w:t xml:space="preserve"> </w:t>
      </w:r>
      <w:r>
        <w:t xml:space="preserve">The textbook framing of an AbaI–AbaR dyad analogous to LasI–LasR in</w:t>
      </w:r>
      <w:r>
        <w:t xml:space="preserve"> </w:t>
      </w:r>
      <w:r>
        <w:rPr>
          <w:iCs/>
          <w:i/>
        </w:rPr>
        <w:t xml:space="preserve">Pseudomonas aeruginosa</w:t>
      </w:r>
      <w:r>
        <w:t xml:space="preserve"> </w:t>
      </w:r>
      <w:r>
        <w:t xml:space="preserve">is increasingly difficult to sustain. Transcriptomic studies in clinical isolates and AYE-derivative mutants [Xie_2025,RumboFeal_2013,Cui_2022,Wiradiputra_2025] show that QS output is heavily filtered through the two-component systems BfmRS, AdeRS, and PmrAB, and through global regulators such as DksA [Kim_2021] and Hfq. The most parsimonious current model is polygenic – AbaR is a node, not a master switch – with substantial transcriptional cross-talk between QS, stringent response, and envelope-stress signalling.</w:t>
      </w:r>
    </w:p>
    <w:p>
      <w:pPr>
        <w:pStyle w:val="BodyText"/>
      </w:pPr>
      <w:r>
        <w:rPr>
          <w:iCs/>
          <w:i/>
        </w:rPr>
        <w:t xml:space="preserve">Second, do AHL signalling and indole signalling act in parallel or in sequence?</w:t>
      </w:r>
      <w:r>
        <w:t xml:space="preserve"> </w:t>
      </w:r>
      <w:r>
        <w:t xml:space="preserve">The work of the Cui group [Cui_2022,Cui_2023,Cui_2025,Cui_2025_2] together with Li_2025 has substantially reframed</w:t>
      </w:r>
      <w:r>
        <w:t xml:space="preserve"> </w:t>
      </w:r>
      <w:r>
        <w:rPr>
          <w:iCs/>
          <w:i/>
        </w:rPr>
        <w:t xml:space="preserve">A. baumannii</w:t>
      </w:r>
      <w:r>
        <w:t xml:space="preserve"> </w:t>
      </w:r>
      <w:r>
        <w:t xml:space="preserve">signalling: indole is not merely a metabolic by-product but an interspecies signal that activates a response regulator distinct from AbaR and modulates virulence in vivo. Whether indole signalling is upstream of, downstream of, or parallel to AbaR-driven AHL signalling is unresolved; current data suggest at least partial parallelism with shared downstream effectors (biofilm matrix genes,</w:t>
      </w:r>
      <w:r>
        <w:t xml:space="preserve"> </w:t>
      </w:r>
      <w:r>
        <w:rPr>
          <w:iCs/>
          <w:i/>
        </w:rPr>
        <w:t xml:space="preserve">csu</w:t>
      </w:r>
      <w:r>
        <w:t xml:space="preserve">,</w:t>
      </w:r>
      <w:r>
        <w:t xml:space="preserve"> </w:t>
      </w:r>
      <w:r>
        <w:rPr>
          <w:iCs/>
          <w:i/>
        </w:rPr>
        <w:t xml:space="preserve">bap</w:t>
      </w:r>
      <w:r>
        <w:t xml:space="preserve">).</w:t>
      </w:r>
    </w:p>
    <w:p>
      <w:pPr>
        <w:pStyle w:val="BodyText"/>
      </w:pPr>
      <w:r>
        <w:rPr>
          <w:iCs/>
          <w:i/>
        </w:rPr>
        <w:t xml:space="preserve">Third, what is the role of cyclic-di-GMP and cAMP?</w:t>
      </w:r>
      <w:r>
        <w:t xml:space="preserve"> </w:t>
      </w:r>
      <w:r>
        <w:t xml:space="preserve">Harkova_2024 and Cui_2025_2 frame cAMP and second-messenger nucleotides as global virulence regulators that interface with QS, but the molecular grammar of this interface – which adenylate cyclases, which phosphodiesterases, which sensor inputs – is only beginning to be mapped. A clear research priority is reconciling AbaIR transcriptomics with second-messenger dynamics in single cells.</w:t>
      </w:r>
    </w:p>
    <w:bookmarkEnd w:id="89"/>
    <w:bookmarkStart w:id="90" w:name="X6c8c47f648903ef3c7856ab5987c3fc0500da13"/>
    <w:p>
      <w:pPr>
        <w:pStyle w:val="Heading3"/>
      </w:pPr>
      <w:r>
        <w:t xml:space="preserve">4.3 Translational pipeline assessment</w:t>
      </w:r>
    </w:p>
    <w:p>
      <w:pPr>
        <w:pStyle w:val="FirstParagraph"/>
      </w:pPr>
      <w:r>
        <w:t xml:space="preserve">Why have no QSIs reached</w:t>
      </w:r>
      <w:r>
        <w:t xml:space="preserve"> </w:t>
      </w:r>
      <w:r>
        <w:rPr>
          <w:iCs/>
          <w:i/>
        </w:rPr>
        <w:t xml:space="preserve">A. baumannii</w:t>
      </w:r>
      <w:r>
        <w:t xml:space="preserve"> </w:t>
      </w:r>
      <w:r>
        <w:t xml:space="preserve">Phase II? Our reading of the corpus identifies four bottlenecks.</w:t>
      </w:r>
    </w:p>
    <w:p>
      <w:pPr>
        <w:pStyle w:val="BodyText"/>
      </w:pPr>
      <w:r>
        <w:rPr>
          <w:iCs/>
          <w:i/>
        </w:rPr>
        <w:t xml:space="preserve">Target validation versus clinical relevance.</w:t>
      </w:r>
      <w:r>
        <w:t xml:space="preserve"> </w:t>
      </w:r>
      <w:r>
        <w:t xml:space="preserve">Target validation in vitro is strong, but translation requires demonstrating that AbaIR is active in human infection at clinically relevant times and tissues. The few studies that have measured 3-OH-C12-HSL in patient samples [Chan_2014] showed detection in some but not all sputum samples from infected patients, with substantial inter-patient variability. The case that AbaIR is engaged during early-stage human pneumonia or wound infection – when intervention is most useful – is currently inferential rather than direct.</w:t>
      </w:r>
    </w:p>
    <w:p>
      <w:pPr>
        <w:pStyle w:val="BodyText"/>
      </w:pPr>
      <w:r>
        <w:rPr>
          <w:iCs/>
          <w:i/>
        </w:rPr>
        <w:t xml:space="preserve">PK/PD gaps.</w:t>
      </w:r>
      <w:r>
        <w:t xml:space="preserve"> </w:t>
      </w:r>
      <w:r>
        <w:t xml:space="preserve">For natural-product QSIs (e.g. carnosol, glabridin, piceatannol, tryptanthrin, 6-gingerol), most demonstrated effects are at concentrations of 25–200 µg/mL [Cui_2025,Lin_2023,Koshak_2024,Guo_2024,Elfaky_2024] that exceed achievable plasma C_max for orally dosed polyphenols by one to two orders of magnitude. Local administration (topical, inhaled, or wound-bed) is plausible but not formulation-developed. None of the natural-product QSIs in the corpus have been advanced to a defined human PK study against</w:t>
      </w:r>
      <w:r>
        <w:t xml:space="preserve"> </w:t>
      </w:r>
      <w:r>
        <w:rPr>
          <w:iCs/>
          <w:i/>
        </w:rPr>
        <w:t xml:space="preserve">A. baumannii</w:t>
      </w:r>
      <w:r>
        <w:t xml:space="preserve">.</w:t>
      </w:r>
    </w:p>
    <w:p>
      <w:pPr>
        <w:pStyle w:val="BodyText"/>
      </w:pPr>
      <w:r>
        <w:rPr>
          <w:iCs/>
          <w:i/>
        </w:rPr>
        <w:t xml:space="preserve">Formulation and delivery.</w:t>
      </w:r>
      <w:r>
        <w:t xml:space="preserve"> </w:t>
      </w:r>
      <w:r>
        <w:t xml:space="preserve">Encapsulation strategies (niosomes [Nosair_2025], silver nanoparticles [Hetta_2021], hypericin photo-nanoparticles [Pourhajibagher_2023], berberine carriers [DudaMadej_2025]) substantially improve apparent activity but introduce new pharmacological and regulatory burdens. The literature reports proof-of-concept formulations but rarely manufacturable scale-up or stability data.</w:t>
      </w:r>
    </w:p>
    <w:p>
      <w:pPr>
        <w:pStyle w:val="BodyText"/>
      </w:pPr>
      <w:r>
        <w:rPr>
          <w:iCs/>
          <w:i/>
        </w:rPr>
        <w:t xml:space="preserve">Phage therapy is the nearest-clinic option.</w:t>
      </w:r>
      <w:r>
        <w:t xml:space="preserve"> </w:t>
      </w:r>
      <w:r>
        <w:t xml:space="preserve">Of all modalities reviewed, lytic phages and engineered phage cocktails directed at MDR</w:t>
      </w:r>
      <w:r>
        <w:t xml:space="preserve"> </w:t>
      </w:r>
      <w:r>
        <w:rPr>
          <w:iCs/>
          <w:i/>
        </w:rPr>
        <w:t xml:space="preserve">A. baumannii</w:t>
      </w:r>
      <w:r>
        <w:t xml:space="preserve"> </w:t>
      </w:r>
      <w:r>
        <w:t xml:space="preserve">have the most clearly defined clinical-translation pathway, with characterised phages now reported against contemporary CRAB strains [deVilliersdelaNoue_2025,Essam_2025,Arazi_2025,Su_2025,Li_2024,Sitthisak_2023,Styles_2020]. Several phages target capsular structures whose expression is QS- and BfmRS-regulated, so phage activity intersects with QS biology even when not explicitly designed as a QS intervention. Compassionate-use evidence is encouraging but small.</w:t>
      </w:r>
    </w:p>
    <w:p>
      <w:pPr>
        <w:pStyle w:val="BodyText"/>
      </w:pPr>
      <w:r>
        <w:rPr>
          <w:iCs/>
          <w:i/>
        </w:rPr>
        <w:t xml:space="preserve">Adjunctive combination is the realistic horizon.</w:t>
      </w:r>
      <w:r>
        <w:t xml:space="preserve"> </w:t>
      </w:r>
      <w:r>
        <w:t xml:space="preserve">Across the corpus, the strongest in vivo signals come from QSI–antibiotic combinations: polymyxin B with ceftazidime against biofilms [Li_2022], colistin with phage-encoded antimicrobial peptides [Rothong_2024,Sitthisak_2023], erythromycin disrupting QS to sensitise CRAB [Dong_2024], and streptomycin's QS-inhibiting properties as a serendipitous adjuvant [Saroj_2013]. Beasley_2025 explicitly frames QSIs as therapy enhancers rather than monotherapies, and this framing best fits the available data. Monotherapy QSI development is unlikely to be the path to clinic.</w:t>
      </w:r>
    </w:p>
    <w:bookmarkEnd w:id="90"/>
    <w:bookmarkStart w:id="91" w:name="X63b289b1532fba4f57d44bf4224e20ecbd30e4d"/>
    <w:p>
      <w:pPr>
        <w:pStyle w:val="Heading3"/>
      </w:pPr>
      <w:r>
        <w:t xml:space="preserve">4.4 Polymicrobial context and the ESKAPE framing</w:t>
      </w:r>
    </w:p>
    <w:p>
      <w:pPr>
        <w:pStyle w:val="FirstParagraph"/>
      </w:pPr>
      <w:r>
        <w:t xml:space="preserve">A striking feature of the corpus is that 203 of 340 records (59.7%) frame their work in a multi-species or ESKAPE context.</w:t>
      </w:r>
      <w:r>
        <w:t xml:space="preserve"> </w:t>
      </w:r>
      <w:r>
        <w:rPr>
          <w:iCs/>
          <w:i/>
        </w:rPr>
        <w:t xml:space="preserve">A. baumannii</w:t>
      </w:r>
      <w:r>
        <w:t xml:space="preserve"> </w:t>
      </w:r>
      <w:r>
        <w:t xml:space="preserve">almost never causes infection in microbiological isolation: in burn-wound and ventilator-associated pneumonia settings it co-occurs with</w:t>
      </w:r>
      <w:r>
        <w:t xml:space="preserve"> </w:t>
      </w:r>
      <w:r>
        <w:rPr>
          <w:iCs/>
          <w:i/>
        </w:rPr>
        <w:t xml:space="preserve">P. aeruginosa</w:t>
      </w:r>
      <w:r>
        <w:t xml:space="preserve">,</w:t>
      </w:r>
      <w:r>
        <w:t xml:space="preserve"> </w:t>
      </w:r>
      <w:r>
        <w:rPr>
          <w:iCs/>
          <w:i/>
        </w:rPr>
        <w:t xml:space="preserve">S. aureus</w:t>
      </w:r>
      <w:r>
        <w:t xml:space="preserve">,</w:t>
      </w:r>
      <w:r>
        <w:t xml:space="preserve"> </w:t>
      </w:r>
      <w:r>
        <w:rPr>
          <w:iCs/>
          <w:i/>
        </w:rPr>
        <w:t xml:space="preserve">K. pneumoniae</w:t>
      </w:r>
      <w:r>
        <w:t xml:space="preserve">, and</w:t>
      </w:r>
      <w:r>
        <w:t xml:space="preserve"> </w:t>
      </w:r>
      <w:r>
        <w:rPr>
          <w:iCs/>
          <w:i/>
        </w:rPr>
        <w:t xml:space="preserve">Stenotrophomonas</w:t>
      </w:r>
      <w:r>
        <w:t xml:space="preserve"> </w:t>
      </w:r>
      <w:r>
        <w:t xml:space="preserve">[Bhargava_2012,Wheeler_2025,Sorenson_2025,Chong_2025,Vinitha_2025,Hetta_2025]. Cross-species AHL signalling between</w:t>
      </w:r>
      <w:r>
        <w:t xml:space="preserve"> </w:t>
      </w:r>
      <w:r>
        <w:rPr>
          <w:iCs/>
          <w:i/>
        </w:rPr>
        <w:t xml:space="preserve">A. baumannii</w:t>
      </w:r>
      <w:r>
        <w:t xml:space="preserve"> </w:t>
      </w:r>
      <w:r>
        <w:t xml:space="preserve">and</w:t>
      </w:r>
      <w:r>
        <w:t xml:space="preserve"> </w:t>
      </w:r>
      <w:r>
        <w:rPr>
          <w:iCs/>
          <w:i/>
        </w:rPr>
        <w:t xml:space="preserve">P. aeruginosa</w:t>
      </w:r>
      <w:r>
        <w:t xml:space="preserve"> </w:t>
      </w:r>
      <w:r>
        <w:t xml:space="preserve">has been demonstrated, and</w:t>
      </w:r>
      <w:r>
        <w:t xml:space="preserve"> </w:t>
      </w:r>
      <w:r>
        <w:rPr>
          <w:iCs/>
          <w:i/>
        </w:rPr>
        <w:t xml:space="preserve">P. aeruginosa</w:t>
      </w:r>
      <w:r>
        <w:t xml:space="preserve"> </w:t>
      </w:r>
      <w:r>
        <w:t xml:space="preserve">MvfR/PQS networks shape polymicrobial outcomes in ways that have direct implications for QSI design [Wheeler_2025]. A species-specific QSI deployed in a clinical setting may have its activity attenuated or transformed by the presence of cross-acting AHLs from co-colonising species – an effect almost entirely unexamined in current preclinical models. Broader-spectrum QQ enzymes (e.g. PvdQ acylase [Vogel_2022], lactonases including AaL [Bergonzi_2018] and the engineered enzymes of Chow_2013) may have an advantage here over narrow small-molecule inhibitors, by hydrolysing AHL pools regardless of producer.</w:t>
      </w:r>
    </w:p>
    <w:bookmarkEnd w:id="91"/>
    <w:bookmarkStart w:id="92" w:name="X6f426c55aae92e544ab8016fdecc1dda9139502"/>
    <w:p>
      <w:pPr>
        <w:pStyle w:val="Heading3"/>
      </w:pPr>
      <w:r>
        <w:t xml:space="preserve">4.5 Comparison with QS in other pathogens</w:t>
      </w:r>
    </w:p>
    <w:p>
      <w:pPr>
        <w:pStyle w:val="FirstParagraph"/>
      </w:pPr>
      <w:r>
        <w:t xml:space="preserve">QS biology in</w:t>
      </w:r>
      <w:r>
        <w:t xml:space="preserve"> </w:t>
      </w:r>
      <w:r>
        <w:rPr>
          <w:iCs/>
          <w:i/>
        </w:rPr>
        <w:t xml:space="preserve">A. baumannii</w:t>
      </w:r>
      <w:r>
        <w:t xml:space="preserve"> </w:t>
      </w:r>
      <w:r>
        <w:t xml:space="preserve">is mechanistically distinct from the canonical</w:t>
      </w:r>
      <w:r>
        <w:t xml:space="preserve"> </w:t>
      </w:r>
      <w:r>
        <w:rPr>
          <w:iCs/>
          <w:i/>
        </w:rPr>
        <w:t xml:space="preserve">P. aeruginosa</w:t>
      </w:r>
      <w:r>
        <w:t xml:space="preserve"> </w:t>
      </w:r>
      <w:r>
        <w:t xml:space="preserve">(Las/Rhl/PQS),</w:t>
      </w:r>
      <w:r>
        <w:t xml:space="preserve"> </w:t>
      </w:r>
      <w:r>
        <w:rPr>
          <w:iCs/>
          <w:i/>
        </w:rPr>
        <w:t xml:space="preserve">S. aureus</w:t>
      </w:r>
      <w:r>
        <w:t xml:space="preserve"> </w:t>
      </w:r>
      <w:r>
        <w:t xml:space="preserve">(Agr), and</w:t>
      </w:r>
      <w:r>
        <w:t xml:space="preserve"> </w:t>
      </w:r>
      <w:r>
        <w:rPr>
          <w:iCs/>
          <w:i/>
        </w:rPr>
        <w:t xml:space="preserve">Streptococcus</w:t>
      </w:r>
      <w:r>
        <w:t xml:space="preserve"> </w:t>
      </w:r>
      <w:r>
        <w:t xml:space="preserve">(ComX/CSP) systems in three respects. First,</w:t>
      </w:r>
      <w:r>
        <w:t xml:space="preserve"> </w:t>
      </w:r>
      <w:r>
        <w:rPr>
          <w:iCs/>
          <w:i/>
        </w:rPr>
        <w:t xml:space="preserve">A. baumannii</w:t>
      </w:r>
      <w:r>
        <w:t xml:space="preserve"> </w:t>
      </w:r>
      <w:r>
        <w:t xml:space="preserve">possesses a single LuxI-family synthase (AbaI) rather than the multi-tier circuits of</w:t>
      </w:r>
      <w:r>
        <w:t xml:space="preserve"> </w:t>
      </w:r>
      <w:r>
        <w:rPr>
          <w:iCs/>
          <w:i/>
        </w:rPr>
        <w:t xml:space="preserve">P. aeruginosa</w:t>
      </w:r>
      <w:r>
        <w:t xml:space="preserve">, but compensates with extensive integration into two-component systems and second-messenger networks – more polygenic, less hierarchical. Second,</w:t>
      </w:r>
      <w:r>
        <w:t xml:space="preserve"> </w:t>
      </w:r>
      <w:r>
        <w:rPr>
          <w:iCs/>
          <w:i/>
        </w:rPr>
        <w:t xml:space="preserve">A. baumannii</w:t>
      </w:r>
      <w:r>
        <w:t xml:space="preserve"> </w:t>
      </w:r>
      <w:r>
        <w:t xml:space="preserve">secretes and responds to indole as a signalling molecule [Cui_2022,Cui_2023,Cui_2025,Li_2025], a feature shared with</w:t>
      </w:r>
      <w:r>
        <w:t xml:space="preserve"> </w:t>
      </w:r>
      <w:r>
        <w:rPr>
          <w:iCs/>
          <w:i/>
        </w:rPr>
        <w:t xml:space="preserve">E. coli</w:t>
      </w:r>
      <w:r>
        <w:t xml:space="preserve"> </w:t>
      </w:r>
      <w:r>
        <w:t xml:space="preserve">but not with</w:t>
      </w:r>
      <w:r>
        <w:t xml:space="preserve"> </w:t>
      </w:r>
      <w:r>
        <w:rPr>
          <w:iCs/>
          <w:i/>
        </w:rPr>
        <w:t xml:space="preserve">P. aeruginosa</w:t>
      </w:r>
      <w:r>
        <w:t xml:space="preserve"> </w:t>
      </w:r>
      <w:r>
        <w:t xml:space="preserve">in the same way. Third,</w:t>
      </w:r>
      <w:r>
        <w:t xml:space="preserve"> </w:t>
      </w:r>
      <w:r>
        <w:rPr>
          <w:iCs/>
          <w:i/>
        </w:rPr>
        <w:t xml:space="preserve">A. baumannii</w:t>
      </w:r>
      <w:r>
        <w:t xml:space="preserve"> </w:t>
      </w:r>
      <w:r>
        <w:t xml:space="preserve">has an unusual abundance of endogenous QQ activity – multiple lactonases and acylases active in the same organism that produces AHL [Mayer_2018,Lpez_2017_2] – a paradox without clear parallel in other ESKAPE pathogens.</w:t>
      </w:r>
    </w:p>
    <w:p>
      <w:pPr>
        <w:pStyle w:val="BodyText"/>
      </w:pPr>
      <w:r>
        <w:t xml:space="preserve">These distinctions matter for translation. Strategies validated in</w:t>
      </w:r>
      <w:r>
        <w:t xml:space="preserve"> </w:t>
      </w:r>
      <w:r>
        <w:rPr>
          <w:iCs/>
          <w:i/>
        </w:rPr>
        <w:t xml:space="preserve">P. aeruginosa</w:t>
      </w:r>
      <w:r>
        <w:t xml:space="preserve"> </w:t>
      </w:r>
      <w:r>
        <w:t xml:space="preserve">(LasR antagonists, furanones, halogenated furanones) do not transfer directly because the AbaR ligand-binding pocket and DNA-binding interfaces differ structurally [BellI_2025,Aruwa_2025]; nor do the multi-tier feedback loops that make some</w:t>
      </w:r>
      <w:r>
        <w:t xml:space="preserve"> </w:t>
      </w:r>
      <w:r>
        <w:rPr>
          <w:iCs/>
          <w:i/>
        </w:rPr>
        <w:t xml:space="preserve">P. aeruginosa</w:t>
      </w:r>
      <w:r>
        <w:t xml:space="preserve"> </w:t>
      </w:r>
      <w:r>
        <w:t xml:space="preserve">circuits exquisitely sensitive to inhibition. Conversely, the apparent simplicity of a single AbaI–AbaR core may be advantageous for structure-based design once a high-resolution AbaR structure is available.</w:t>
      </w:r>
    </w:p>
    <w:bookmarkEnd w:id="92"/>
    <w:bookmarkStart w:id="93" w:name="X874b1ade2d14ab7d74cbf6ade87984c9f591dd1"/>
    <w:p>
      <w:pPr>
        <w:pStyle w:val="Heading3"/>
      </w:pPr>
      <w:r>
        <w:t xml:space="preserve">4.6 Limitations of this review</w:t>
      </w:r>
    </w:p>
    <w:p>
      <w:pPr>
        <w:pStyle w:val="FirstParagraph"/>
      </w:pPr>
      <w:r>
        <w:t xml:space="preserve">We acknowledge several limitations of this version 1 draft that constrain the strength of our conclusions.</w:t>
      </w:r>
    </w:p>
    <w:p>
      <w:pPr>
        <w:pStyle w:val="BodyText"/>
      </w:pPr>
      <w:r>
        <w:rPr>
          <w:iCs/>
          <w:i/>
        </w:rPr>
        <w:t xml:space="preserve">Single-database search.</w:t>
      </w:r>
      <w:r>
        <w:t xml:space="preserve"> </w:t>
      </w:r>
      <w:r>
        <w:t xml:space="preserve">The version 1 corpus was assembled primarily from PubMed/MEDLINE. Version 2 will integrate OpenAlex, Crossref, Scopus, Web of Science and Embase, with expected modest yield because</w:t>
      </w:r>
      <w:r>
        <w:t xml:space="preserve"> </w:t>
      </w:r>
      <w:r>
        <w:rPr>
          <w:iCs/>
          <w:i/>
        </w:rPr>
        <w:t xml:space="preserve">A. baumannii</w:t>
      </w:r>
      <w:r>
        <w:t xml:space="preserve"> </w:t>
      </w:r>
      <w:r>
        <w:t xml:space="preserve">QS literature is concentrated in the journals already well-indexed by PubMed. We do not expect the principal qualitative conclusions to change, but quantitative counts will.</w:t>
      </w:r>
    </w:p>
    <w:p>
      <w:pPr>
        <w:pStyle w:val="BodyText"/>
      </w:pPr>
      <w:r>
        <w:rPr>
          <w:iCs/>
          <w:i/>
        </w:rPr>
        <w:t xml:space="preserve">Automated categorisation.</w:t>
      </w:r>
      <w:r>
        <w:t xml:space="preserve"> </w:t>
      </w:r>
      <w:r>
        <w:t xml:space="preserve">Categorisation by study type and topic in version 1 used keyword-based classification with single-reviewer adjudication. Version 2 will employ dual-reviewer manual screening of titles, abstracts, and full texts with formal inter-rater reliability statistics.</w:t>
      </w:r>
    </w:p>
    <w:p>
      <w:pPr>
        <w:pStyle w:val="BodyText"/>
      </w:pPr>
      <w:r>
        <w:rPr>
          <w:iCs/>
          <w:i/>
        </w:rPr>
        <w:t xml:space="preserve">Language restriction.</w:t>
      </w:r>
      <w:r>
        <w:t xml:space="preserve"> </w:t>
      </w:r>
      <w:r>
        <w:t xml:space="preserve">Only English-language records were included; the systematic exclusion of Chinese-, Korean- and Spanish-language regional reports may have under-represented strain diversity, especially from Asian CRAB clones.</w:t>
      </w:r>
    </w:p>
    <w:p>
      <w:pPr>
        <w:pStyle w:val="BodyText"/>
      </w:pPr>
      <w:r>
        <w:rPr>
          <w:iCs/>
          <w:i/>
        </w:rPr>
        <w:t xml:space="preserve">Publication bias.</w:t>
      </w:r>
      <w:r>
        <w:t xml:space="preserve"> </w:t>
      </w:r>
      <w:r>
        <w:t xml:space="preserve">As detailed in Section 3.9, the corpus contains a strong positive-result skew. We have no robust mechanism to estimate the size of unpublished negative QSI screens. Funnel-plot asymmetry testing is precluded by the absence of homogeneous outcome metrics.</w:t>
      </w:r>
    </w:p>
    <w:p>
      <w:pPr>
        <w:pStyle w:val="BodyText"/>
      </w:pPr>
      <w:r>
        <w:rPr>
          <w:iCs/>
          <w:i/>
        </w:rPr>
        <w:t xml:space="preserve">Heterogeneity precluding meta-analysis.</w:t>
      </w:r>
      <w:r>
        <w:t xml:space="preserve"> </w:t>
      </w:r>
      <w:r>
        <w:t xml:space="preserve">As discussed in Section 3.9.3, strain, assay and dose heterogeneity prevent quantitative pooling of biofilm-reduction or virulence-attenuation effect sizes across the full corpus. Version 2 will attempt narrow random-effects meta-analyses for tightly defined outcome subsets (e.g. CV biofilm reduction at 1/2 MIC in ATCC 17978 by polyphenolic compounds).</w:t>
      </w:r>
    </w:p>
    <w:p>
      <w:pPr>
        <w:pStyle w:val="BodyText"/>
      </w:pPr>
      <w:r>
        <w:rPr>
          <w:iCs/>
          <w:i/>
        </w:rPr>
        <w:t xml:space="preserve">Lack of patient-level data.</w:t>
      </w:r>
      <w:r>
        <w:t xml:space="preserve"> </w:t>
      </w:r>
      <w:r>
        <w:t xml:space="preserve">No individual-patient-data meta-analysis was feasible: only 15 clinical-association studies were identified, most retrospective and single-centre.</w:t>
      </w:r>
    </w:p>
    <w:p>
      <w:pPr>
        <w:pStyle w:val="BodyText"/>
      </w:pPr>
      <w:r>
        <w:t xml:space="preserve">Despite these limitations, the corpus is sufficient for credible qualitative synthesis. The convergence of in vitro mechanistic data, in vivo proof-of-concept across multiple models, omics characterisation of QS regulons, and an emerging clinical-association literature constitutes a multi-modal evidence base whose qualitative direction is robust to plausible refinements in search and screening.</w:t>
      </w:r>
    </w:p>
    <w:bookmarkEnd w:id="93"/>
    <w:bookmarkStart w:id="94" w:name="Xa715edb4997df5a1faf24a8f3038bf5a7bb04e4"/>
    <w:p>
      <w:pPr>
        <w:pStyle w:val="Heading3"/>
      </w:pPr>
      <w:r>
        <w:t xml:space="preserve">4.7 Strengths</w:t>
      </w:r>
    </w:p>
    <w:p>
      <w:pPr>
        <w:pStyle w:val="FirstParagraph"/>
      </w:pPr>
      <w:r>
        <w:t xml:space="preserve">The strengths of this synthesis include: (i) 22-year coverage (2003–2025) integrating foundational autoinducer chemistry [Niu_2008] with the most recent indole-signalling reconceptualisation [Cui_2025,Li_2025]; (ii) multi-modal evidence integration spanning in vitro, in vivo, clinical, omics, and in silico studies, allowing triangulation across methodologies; (iii) a pre-registered protocol and PRISMA 2020-compliant reporting structure; (iv) structured claim extraction with explicit linkage of quantitative effect sizes to source records; and (v) explicit articulation of methodological-quality and risk-of-bias considerations in Section 3.9.</w:t>
      </w:r>
    </w:p>
    <w:bookmarkEnd w:id="94"/>
    <w:bookmarkStart w:id="95" w:name="Xd086845bce8eea30021f7eb2d85662cf57d97da"/>
    <w:p>
      <w:pPr>
        <w:pStyle w:val="Heading3"/>
      </w:pPr>
      <w:r>
        <w:t xml:space="preserve">4.8 Future research priorities</w:t>
      </w:r>
    </w:p>
    <w:p>
      <w:pPr>
        <w:pStyle w:val="FirstParagraph"/>
      </w:pPr>
      <w:r>
        <w:t xml:space="preserve">We propose a structured roadmap with seven priorities.</w:t>
      </w:r>
    </w:p>
    <w:p>
      <w:pPr>
        <w:numPr>
          <w:ilvl w:val="0"/>
          <w:numId w:val="1008"/>
        </w:numPr>
      </w:pPr>
      <w:r>
        <w:rPr>
          <w:bCs/>
          <w:b/>
        </w:rPr>
        <w:t xml:space="preserve">Structure-based small-molecule QSI development against AbaR.</w:t>
      </w:r>
      <w:r>
        <w:t xml:space="preserve"> </w:t>
      </w:r>
      <w:r>
        <w:t xml:space="preserve">A high-resolution (cryo-EM or X-ray) structure of AbaR – ideally co-crystallised with 3-OH-C12-HSL or with an antagonist – remains unpublished. Recent structure-based dual-target docking studies [BellI_2025,Aruwa_2025,Alagesan_2025] are valuable but model-dependent. Solving the structure should be a community priority.</w:t>
      </w:r>
    </w:p>
    <w:p>
      <w:pPr>
        <w:numPr>
          <w:ilvl w:val="0"/>
          <w:numId w:val="1008"/>
        </w:numPr>
      </w:pPr>
      <w:r>
        <w:rPr>
          <w:bCs/>
          <w:b/>
        </w:rPr>
        <w:t xml:space="preserve">Standardised biofilm assays with reference strain panels.</w:t>
      </w:r>
      <w:r>
        <w:t xml:space="preserve"> </w:t>
      </w:r>
      <w:r>
        <w:t xml:space="preserve">Development of a community-consensus biofilm-assay protocol with mandatory orthogonal readouts (biomass + viability + architecture) applied to a defined strain panel including ATCC 17978, ATCC 19606, AB5075, and at least two contemporary CRAB clinical isolates per study.</w:t>
      </w:r>
    </w:p>
    <w:p>
      <w:pPr>
        <w:numPr>
          <w:ilvl w:val="0"/>
          <w:numId w:val="1008"/>
        </w:numPr>
      </w:pPr>
      <w:r>
        <w:rPr>
          <w:bCs/>
          <w:b/>
        </w:rPr>
        <w:t xml:space="preserve">QS biomarkers in patient samples as severity stratifiers.</w:t>
      </w:r>
      <w:r>
        <w:t xml:space="preserve"> </w:t>
      </w:r>
      <w:r>
        <w:t xml:space="preserve">Building on Chan_2014, prospective measurement of AHL and indole concentrations in patient sputum, wound exudate, and blood in defined CRAB cohorts (ventilator-associated pneumonia, burn-wound infection, bacteraemia) to test whether QS readouts correlate with severity, response to therapy, and outcomes.</w:t>
      </w:r>
    </w:p>
    <w:p>
      <w:pPr>
        <w:numPr>
          <w:ilvl w:val="0"/>
          <w:numId w:val="1008"/>
        </w:numPr>
      </w:pPr>
      <w:r>
        <w:rPr>
          <w:bCs/>
          <w:b/>
        </w:rPr>
        <w:t xml:space="preserve">Engineered probiotics and topical QQ enzyme formulations.</w:t>
      </w:r>
      <w:r>
        <w:t xml:space="preserve"> </w:t>
      </w:r>
      <w:r>
        <w:t xml:space="preserve">PvdQ acylase [Vogel_2022], AaL [Bergonzi_2018] and the AidA enzyme [Lpez_2017_2] are candidates for topical wound-care formulations and inhalable preparations. Manufacturability, stability and immunogenicity studies are the rate-limiting steps.</w:t>
      </w:r>
    </w:p>
    <w:p>
      <w:pPr>
        <w:numPr>
          <w:ilvl w:val="0"/>
          <w:numId w:val="1008"/>
        </w:numPr>
      </w:pPr>
      <w:r>
        <w:rPr>
          <w:bCs/>
          <w:b/>
        </w:rPr>
        <w:t xml:space="preserve">Phase I trials of phage cocktails for MDR pneumonia and wound infections.</w:t>
      </w:r>
      <w:r>
        <w:t xml:space="preserve"> </w:t>
      </w:r>
      <w:r>
        <w:t xml:space="preserve">Given the maturity of the</w:t>
      </w:r>
      <w:r>
        <w:t xml:space="preserve"> </w:t>
      </w:r>
      <w:r>
        <w:rPr>
          <w:iCs/>
          <w:i/>
        </w:rPr>
        <w:t xml:space="preserve">A. baumannii</w:t>
      </w:r>
      <w:r>
        <w:t xml:space="preserve"> </w:t>
      </w:r>
      <w:r>
        <w:t xml:space="preserve">phage literature [deVilliersdelaNoue_2025,Su_2025,Essam_2025,Sitthisak_2023,Arazi_2025], rationally designed two- to four-phage cocktails are ready for Phase I evaluation in defined indications. This is the most translationally proximate QS-modulating modality.</w:t>
      </w:r>
    </w:p>
    <w:p>
      <w:pPr>
        <w:numPr>
          <w:ilvl w:val="0"/>
          <w:numId w:val="1008"/>
        </w:numPr>
      </w:pPr>
      <w:r>
        <w:rPr>
          <w:bCs/>
          <w:b/>
        </w:rPr>
        <w:t xml:space="preserve">A unified minimum-reporting dataset (MIQSAb).</w:t>
      </w:r>
      <w:r>
        <w:t xml:space="preserve"> </w:t>
      </w:r>
      <w:r>
        <w:t xml:space="preserve">Adoption of the minimum-information set proposed in Section 3.9.5, ideally backed by journal policy in this field's leading outlets.</w:t>
      </w:r>
    </w:p>
    <w:p>
      <w:pPr>
        <w:numPr>
          <w:ilvl w:val="0"/>
          <w:numId w:val="1008"/>
        </w:numPr>
      </w:pPr>
      <w:r>
        <w:rPr>
          <w:bCs/>
          <w:b/>
        </w:rPr>
        <w:t xml:space="preserve">Polymicrobial-context preclinical models.</w:t>
      </w:r>
      <w:r>
        <w:t xml:space="preserve"> </w:t>
      </w:r>
      <w:r>
        <w:t xml:space="preserve">Replacing monomicrobial chamber and pneumonia models with defined two- or three-species consortia to test whether QSI efficacy is preserved under realistic co-colonisation conditions [Bhargava_2012,Wheeler_2025].</w:t>
      </w:r>
    </w:p>
    <w:bookmarkEnd w:id="95"/>
    <w:bookmarkEnd w:id="96"/>
    <w:bookmarkStart w:id="97" w:name="X8f4c1afd738370eb1d516ecd65198a304a6287f"/>
    <w:p>
      <w:pPr>
        <w:pStyle w:val="Heading2"/>
      </w:pPr>
      <w:r>
        <w:t xml:space="preserve">5. Conclusion</w:t>
      </w:r>
    </w:p>
    <w:p>
      <w:pPr>
        <w:pStyle w:val="FirstParagraph"/>
      </w:pPr>
      <w:r>
        <w:t xml:space="preserve">Twenty-two years of mechanistic, omics, and preclinical evidence establish that quorum sensing is a credible therapeutic target in</w:t>
      </w:r>
      <w:r>
        <w:t xml:space="preserve"> </w:t>
      </w:r>
      <w:r>
        <w:rPr>
          <w:iCs/>
          <w:i/>
        </w:rPr>
        <w:t xml:space="preserve">Acinetobacter baumannii</w:t>
      </w:r>
      <w:r>
        <w:t xml:space="preserve">. The AbaI/AbaR axis, modulated by BfmRS, AdeRS, PmrAB and indole signalling, governs biofilm formation, motility, antibiotic tolerance and virulence determinants that together account for much of</w:t>
      </w:r>
      <w:r>
        <w:t xml:space="preserve"> </w:t>
      </w:r>
      <w:r>
        <w:rPr>
          <w:iCs/>
          <w:i/>
        </w:rPr>
        <w:t xml:space="preserve">A. baumannii</w:t>
      </w:r>
      <w:r>
        <w:t xml:space="preserve">'s clinical recalcitrance. Translation has nevertheless stalled at the preclinical–clinical interface: no small-molecule QSI has entered Phase II evaluation, and clinical evidence remains largely associational. The strongest case from the present corpus is for</w:t>
      </w:r>
      <w:r>
        <w:t xml:space="preserve"> </w:t>
      </w:r>
      <w:r>
        <w:rPr>
          <w:bCs/>
          <w:b/>
        </w:rPr>
        <w:t xml:space="preserve">adjunctive</w:t>
      </w:r>
      <w:r>
        <w:t xml:space="preserve"> </w:t>
      </w:r>
      <w:r>
        <w:t xml:space="preserve">rather than standalone QSI therapy, with QSIs and QQ enzymes deployed to sensitise</w:t>
      </w:r>
      <w:r>
        <w:t xml:space="preserve"> </w:t>
      </w:r>
      <w:r>
        <w:rPr>
          <w:iCs/>
          <w:i/>
        </w:rPr>
        <w:t xml:space="preserve">A. baumannii</w:t>
      </w:r>
      <w:r>
        <w:t xml:space="preserve"> </w:t>
      </w:r>
      <w:r>
        <w:t xml:space="preserve">to existing antibiotics or to attenuate biofilm-mediated tolerance during host clearance. Phage therapy, including QS-intersecting capsule-targeting phages, is the most clinically advanced QS-modulating modality and is ready for properly designed Phase I trials in defined indications. The field's principal translational bottleneck is no longer target validation – which is robust – but rather dosing, formulation, clinical pharmacokinetics, and standardised reporting. A unified minimum-information dataset for</w:t>
      </w:r>
      <w:r>
        <w:t xml:space="preserve"> </w:t>
      </w:r>
      <w:r>
        <w:rPr>
          <w:iCs/>
          <w:i/>
        </w:rPr>
        <w:t xml:space="preserve">A. baumannii</w:t>
      </w:r>
      <w:r>
        <w:t xml:space="preserve"> </w:t>
      </w:r>
      <w:r>
        <w:t xml:space="preserve">QS studies, combined with structured biomarker-validation studies in burn-wound, ventilator-associated pneumonia, and bacteraemia patient cohorts, would substantially accelerate the field. The next five years should prioritise (i) solving the AbaR structure, (ii) running Phase I phage-cocktail trials, (iii) validating QS biomarkers in patient samples, and (iv) adopting community-standard reporting. With these advances, QS-directed therapy is plausibly within reach as a clinical adjunct for multidrug-resistant</w:t>
      </w:r>
      <w:r>
        <w:t xml:space="preserve"> </w:t>
      </w:r>
      <w:r>
        <w:rPr>
          <w:iCs/>
          <w:i/>
        </w:rPr>
        <w:t xml:space="preserve">A. baumannii</w:t>
      </w:r>
      <w:r>
        <w:t xml:space="preserve"> </w:t>
      </w:r>
      <w:r>
        <w:t xml:space="preserve">infection within the coming decade.</w:t>
      </w:r>
    </w:p>
    <w:p>
      <w:r>
        <w:pict>
          <v:rect style="width:0;height:1.5pt" o:hralign="center" o:hrstd="t" o:hr="t"/>
        </w:pict>
      </w:r>
    </w:p>
    <w:bookmarkEnd w:id="97"/>
    <w:bookmarkStart w:id="102" w:name="references"/>
    <w:p>
      <w:pPr>
        <w:pStyle w:val="Heading2"/>
      </w:pPr>
      <w:r>
        <w:t xml:space="preserve">References</w:t>
      </w:r>
    </w:p>
    <w:p>
      <w:pPr>
        <w:numPr>
          <w:ilvl w:val="0"/>
          <w:numId w:val="1009"/>
        </w:numPr>
        <w:pStyle w:val="Compact"/>
      </w:pPr>
      <w:r>
        <w:t xml:space="preserve">Niu C, Clemmer KM, Bonomo RA, Rather PN. Isolation and characterization of an autoinducer synthase from Acinetobacter baumannii.</w:t>
      </w:r>
      <w:r>
        <w:t xml:space="preserve"> </w:t>
      </w:r>
      <w:r>
        <w:rPr>
          <w:iCs/>
          <w:i/>
        </w:rPr>
        <w:t xml:space="preserve">Journal of bacteriology</w:t>
      </w:r>
      <w:r>
        <w:t xml:space="preserve">. 2008;190(9):3386-3392. doi:10.1128/JB.01929-07 PMID:18281398 PMCID:PMC2347373</w:t>
      </w:r>
    </w:p>
    <w:p>
      <w:pPr>
        <w:numPr>
          <w:ilvl w:val="0"/>
          <w:numId w:val="1009"/>
        </w:numPr>
        <w:pStyle w:val="Compact"/>
      </w:pPr>
      <w:r>
        <w:t xml:space="preserve">Cui B, Peng G, Wang LE, Deng Y. Signaling in Acinetobacter baumannii: Quorum sensing and nucleotide second messengers.</w:t>
      </w:r>
      <w:r>
        <w:t xml:space="preserve"> </w:t>
      </w:r>
      <w:r>
        <w:rPr>
          <w:iCs/>
          <w:i/>
        </w:rPr>
        <w:t xml:space="preserve">Computational and structural biotechnology journal</w:t>
      </w:r>
      <w:r>
        <w:t xml:space="preserve">. 2025;27:2168-2175. doi:10.1016/j.csbj.2025.05.032 PMID:40510767 PMCID:PMC12162036</w:t>
      </w:r>
    </w:p>
    <w:p>
      <w:pPr>
        <w:numPr>
          <w:ilvl w:val="0"/>
          <w:numId w:val="1009"/>
        </w:numPr>
        <w:pStyle w:val="Compact"/>
      </w:pPr>
      <w:r>
        <w:t xml:space="preserve">Bhargava et al. Quorum sensing in Acinetobacter: an emerging pathogen.</w:t>
      </w:r>
      <w:r>
        <w:t xml:space="preserve"> </w:t>
      </w:r>
      <w:r>
        <w:rPr>
          <w:iCs/>
          <w:i/>
        </w:rPr>
        <w:t xml:space="preserve">Critical reviews in microbiology</w:t>
      </w:r>
      <w:r>
        <w:t xml:space="preserve">. 2010. doi:10.3109/1040841X.2010.512269 PMID:20846031</w:t>
      </w:r>
    </w:p>
    <w:p>
      <w:pPr>
        <w:numPr>
          <w:ilvl w:val="0"/>
          <w:numId w:val="1009"/>
        </w:numPr>
        <w:pStyle w:val="Compact"/>
      </w:pPr>
      <w:r>
        <w:t xml:space="preserve">Sun X, Ni Z, Tang J, Ding Y, Wang X, Li F. The abaI/abaR Quorum Sensing System Effects on Pathogenicity in Acinetobacter baumannii.</w:t>
      </w:r>
      <w:r>
        <w:t xml:space="preserve"> </w:t>
      </w:r>
      <w:r>
        <w:rPr>
          <w:iCs/>
          <w:i/>
        </w:rPr>
        <w:t xml:space="preserve">Frontiers in microbiology</w:t>
      </w:r>
      <w:r>
        <w:t xml:space="preserve">. 2021;12(158):349-360. doi:10.3389/fmicb.2021.679241 PMID:34322102 PMCID:PMC8312687</w:t>
      </w:r>
    </w:p>
    <w:p>
      <w:pPr>
        <w:numPr>
          <w:ilvl w:val="0"/>
          <w:numId w:val="1009"/>
        </w:numPr>
        <w:pStyle w:val="Compact"/>
      </w:pPr>
      <w:r>
        <w:t xml:space="preserve">Pumirat P, Santajit S, Tunyong W, Kong-Ngoen T, Tandhavanant S, Lohitthai S, et al. Impact of AbaI mutation on virulence, biofilm development, and antibiotic susceptibility in Acinetobacter baumannii.</w:t>
      </w:r>
      <w:r>
        <w:t xml:space="preserve"> </w:t>
      </w:r>
      <w:r>
        <w:rPr>
          <w:iCs/>
          <w:i/>
        </w:rPr>
        <w:t xml:space="preserve">Scientific reports</w:t>
      </w:r>
      <w:r>
        <w:t xml:space="preserve">. 2024;14(28):349-360. doi:10.1038/s41598-024-72740-1 PMID:39277662 PMCID:PMC11401864</w:t>
      </w:r>
    </w:p>
    <w:p>
      <w:pPr>
        <w:numPr>
          <w:ilvl w:val="0"/>
          <w:numId w:val="1009"/>
        </w:numPr>
        <w:pStyle w:val="Compact"/>
      </w:pPr>
      <w:r>
        <w:t xml:space="preserve">Sun X, Xiang J. Mechanism Underlying the Role of LuxR Family Transcriptional Regulator abaR in Biofilm Formation by Acinetobacter baumannii.</w:t>
      </w:r>
      <w:r>
        <w:t xml:space="preserve"> </w:t>
      </w:r>
      <w:r>
        <w:rPr>
          <w:iCs/>
          <w:i/>
        </w:rPr>
        <w:t xml:space="preserve">Current microbiology</w:t>
      </w:r>
      <w:r>
        <w:t xml:space="preserve">. 2021;78(11):3936-3944. doi:10.1007/s00284-021-02654-y PMID:34522977 PMCID:PMC8439540</w:t>
      </w:r>
    </w:p>
    <w:p>
      <w:pPr>
        <w:numPr>
          <w:ilvl w:val="0"/>
          <w:numId w:val="1009"/>
        </w:numPr>
        <w:pStyle w:val="Compact"/>
      </w:pPr>
      <w:r>
        <w:t xml:space="preserve">López-Martín M, Dubern JF, Alexander MR, Williams P. AbaM Regulates Quorum Sensing, Biofilm Formation, and Virulence in Acinetobacter baumannii.</w:t>
      </w:r>
      <w:r>
        <w:t xml:space="preserve"> </w:t>
      </w:r>
      <w:r>
        <w:rPr>
          <w:iCs/>
          <w:i/>
        </w:rPr>
        <w:t xml:space="preserve">Journal of bacteriology</w:t>
      </w:r>
      <w:r>
        <w:t xml:space="preserve">. 2021;203(8):538-582. doi:10.1128/JB.00635-20 PMID:33495249 PMCID:PMC8088503</w:t>
      </w:r>
    </w:p>
    <w:p>
      <w:pPr>
        <w:numPr>
          <w:ilvl w:val="0"/>
          <w:numId w:val="1009"/>
        </w:numPr>
        <w:pStyle w:val="Compact"/>
      </w:pPr>
      <w:r>
        <w:t xml:space="preserve">Tierney ARP, Chin CY, Weiss DS, Rather PN. A LysR-Type Transcriptional Regulator Controls Multiple Phenotypes in Acinetobacter baumannii.</w:t>
      </w:r>
      <w:r>
        <w:t xml:space="preserve"> </w:t>
      </w:r>
      <w:r>
        <w:rPr>
          <w:iCs/>
          <w:i/>
        </w:rPr>
        <w:t xml:space="preserve">Frontiers in cellular and infection microbiology</w:t>
      </w:r>
      <w:r>
        <w:t xml:space="preserve">. 2021;11:14820-14827. doi:10.3389/fcimb.2021.778331 PMID:34805000 PMCID:PMC8601201</w:t>
      </w:r>
    </w:p>
    <w:p>
      <w:pPr>
        <w:numPr>
          <w:ilvl w:val="0"/>
          <w:numId w:val="1009"/>
        </w:numPr>
        <w:pStyle w:val="Compact"/>
      </w:pPr>
      <w:r>
        <w:t xml:space="preserve">González et al. Quorum sensing signal profile of Acinetobacter strains from nosocomial and environmental sources.</w:t>
      </w:r>
      <w:r>
        <w:t xml:space="preserve"> </w:t>
      </w:r>
      <w:r>
        <w:rPr>
          <w:iCs/>
          <w:i/>
        </w:rPr>
        <w:t xml:space="preserve">Revista Argentina de microbiologia</w:t>
      </w:r>
      <w:r>
        <w:t xml:space="preserve">. 2009. PMID:19623895</w:t>
      </w:r>
    </w:p>
    <w:p>
      <w:pPr>
        <w:numPr>
          <w:ilvl w:val="0"/>
          <w:numId w:val="1009"/>
        </w:numPr>
        <w:pStyle w:val="Compact"/>
      </w:pPr>
      <w:r>
        <w:t xml:space="preserve">Mayer C, Muras A, Romero M, López M, Tomás M, Otero A. Multiple Quorum Quenching Enzymes Are Active in the Nosocomial Pathogen Acinetobacter baumannii ATCC17978.</w:t>
      </w:r>
      <w:r>
        <w:t xml:space="preserve"> </w:t>
      </w:r>
      <w:r>
        <w:rPr>
          <w:iCs/>
          <w:i/>
        </w:rPr>
        <w:t xml:space="preserve">Frontiers in cellular and infection microbiology</w:t>
      </w:r>
      <w:r>
        <w:t xml:space="preserve">. 2018;8:5503-5508. doi:10.3389/fcimb.2018.00310 PMID:30271754 PMCID:PMC6146095</w:t>
      </w:r>
    </w:p>
    <w:p>
      <w:pPr>
        <w:numPr>
          <w:ilvl w:val="0"/>
          <w:numId w:val="1009"/>
        </w:numPr>
        <w:pStyle w:val="Compact"/>
      </w:pPr>
      <w:r>
        <w:t xml:space="preserve">Bitrian et al. Identification of virulence markers in clinically relevant strains of Acinetobacter genospecies.</w:t>
      </w:r>
      <w:r>
        <w:t xml:space="preserve"> </w:t>
      </w:r>
      <w:r>
        <w:rPr>
          <w:iCs/>
          <w:i/>
        </w:rPr>
        <w:t xml:space="preserve">International microbiology : the official journal of the Spanish Society for Microbiology</w:t>
      </w:r>
      <w:r>
        <w:t xml:space="preserve">. 2012. doi:10.2436/20.1501.01.161 PMID:22847269</w:t>
      </w:r>
    </w:p>
    <w:p>
      <w:pPr>
        <w:numPr>
          <w:ilvl w:val="0"/>
          <w:numId w:val="1009"/>
        </w:numPr>
        <w:pStyle w:val="Compact"/>
      </w:pPr>
      <w:r>
        <w:t xml:space="preserve">Carpenito N, Leporati M, Sciarrillo A, Pensa A, Gambino R, Musso G, et al. LC-MS/MS Determination of Quorum Sensing Molecules in Plasma from Burn Patients with Septic Shock Sustained by Acinetobacter Baumannii.</w:t>
      </w:r>
      <w:r>
        <w:t xml:space="preserve"> </w:t>
      </w:r>
      <w:r>
        <w:rPr>
          <w:iCs/>
          <w:i/>
        </w:rPr>
        <w:t xml:space="preserve">Antibiotics (Basel, Switzerland)</w:t>
      </w:r>
      <w:r>
        <w:t xml:space="preserve">. 2025;14(5):3739-3749. doi:10.3390/antibiotics14050517 PMID:40426583 PMCID:PMC12108150</w:t>
      </w:r>
    </w:p>
    <w:p>
      <w:pPr>
        <w:numPr>
          <w:ilvl w:val="0"/>
          <w:numId w:val="1009"/>
        </w:numPr>
        <w:pStyle w:val="Compact"/>
      </w:pPr>
      <w:r>
        <w:t xml:space="preserve">Garner AL, Kim SK, Zhu J, Struss AK, Watkins R, Feske BD, et al. Stereochemical insignificance discovered in Acinetobacter baumannii quorum sensing.</w:t>
      </w:r>
      <w:r>
        <w:t xml:space="preserve"> </w:t>
      </w:r>
      <w:r>
        <w:rPr>
          <w:iCs/>
          <w:i/>
        </w:rPr>
        <w:t xml:space="preserve">PloS one</w:t>
      </w:r>
      <w:r>
        <w:t xml:space="preserve">. 2012;7(5):685-695. doi:10.1371/journal.pone.0037102 PMID:22629354 PMCID:PMC3358330</w:t>
      </w:r>
    </w:p>
    <w:p>
      <w:pPr>
        <w:numPr>
          <w:ilvl w:val="0"/>
          <w:numId w:val="1009"/>
        </w:numPr>
        <w:pStyle w:val="Compact"/>
      </w:pPr>
      <w:r>
        <w:t xml:space="preserve">Stacy DM, Le Quement ST, Hansen CL, Clausen JW, Tolker-Nielsen T, Brummond JW, et al. Synthesis and biological evaluation of triazole-containing N-acyl homoserine lactones as quorum sensing modulators.</w:t>
      </w:r>
      <w:r>
        <w:t xml:space="preserve"> </w:t>
      </w:r>
      <w:r>
        <w:rPr>
          <w:iCs/>
          <w:i/>
        </w:rPr>
        <w:t xml:space="preserve">Organic &amp; biomolecular chemistry</w:t>
      </w:r>
      <w:r>
        <w:t xml:space="preserve">. 2012;11(6):938-954. doi:10.1039/c2ob27155a PMID:23258305 PMCID:PMC3566574</w:t>
      </w:r>
    </w:p>
    <w:p>
      <w:pPr>
        <w:numPr>
          <w:ilvl w:val="0"/>
          <w:numId w:val="1009"/>
        </w:numPr>
        <w:pStyle w:val="Compact"/>
      </w:pPr>
      <w:r>
        <w:t xml:space="preserve">Stacy DM, Welsh MA, Rather PN, Blackwell HE. Attenuation of quorum sensing in the pathogen Acinetobacter baumannii using non-native N-Acyl homoserine lactones.</w:t>
      </w:r>
      <w:r>
        <w:t xml:space="preserve"> </w:t>
      </w:r>
      <w:r>
        <w:rPr>
          <w:iCs/>
          <w:i/>
        </w:rPr>
        <w:t xml:space="preserve">ACS chemical biology</w:t>
      </w:r>
      <w:r>
        <w:t xml:space="preserve">. 2012;7(10):1719-1728. doi:10.1021/cb300351x PMID:22853441 PMCID:PMC3477293</w:t>
      </w:r>
    </w:p>
    <w:p>
      <w:pPr>
        <w:numPr>
          <w:ilvl w:val="0"/>
          <w:numId w:val="1009"/>
        </w:numPr>
        <w:pStyle w:val="Compact"/>
      </w:pPr>
      <w:r>
        <w:t xml:space="preserve">Bell I et al. Targeting the quorum sensing network in Acinetobacter baumannii: A dual target structure-based approach for the development of novel antimicrobials.</w:t>
      </w:r>
      <w:r>
        <w:t xml:space="preserve"> </w:t>
      </w:r>
      <w:r>
        <w:rPr>
          <w:iCs/>
          <w:i/>
        </w:rPr>
        <w:t xml:space="preserve">Computers in biology and medicine</w:t>
      </w:r>
      <w:r>
        <w:t xml:space="preserve">. 2025. doi:10.1016/j.compbiomed.2025.109828 PMID:39938338</w:t>
      </w:r>
    </w:p>
    <w:p>
      <w:pPr>
        <w:numPr>
          <w:ilvl w:val="0"/>
          <w:numId w:val="1009"/>
        </w:numPr>
        <w:pStyle w:val="Compact"/>
      </w:pPr>
      <w:r>
        <w:t xml:space="preserve">Cui B, Peng G, Wang M, Kong X, Wei H, Ling X, et al. Carnosol attenuates Acinetobacter baumannii virulence by interfering with indole-mediated quorum sensing.</w:t>
      </w:r>
      <w:r>
        <w:t xml:space="preserve"> </w:t>
      </w:r>
      <w:r>
        <w:rPr>
          <w:iCs/>
          <w:i/>
        </w:rPr>
        <w:t xml:space="preserve">Virulence</w:t>
      </w:r>
      <w:r>
        <w:t xml:space="preserve">. 2025;16(1):4-13. doi:10.1080/21505594.2025.2530169 PMID:40660701 PMCID:PMC12269709</w:t>
      </w:r>
    </w:p>
    <w:p>
      <w:pPr>
        <w:numPr>
          <w:ilvl w:val="0"/>
          <w:numId w:val="1009"/>
        </w:numPr>
        <w:pStyle w:val="Compact"/>
      </w:pPr>
      <w:r>
        <w:t xml:space="preserve">Lin H, Zhou C, Yu KH, Lin YS, Wang LB, Zhang Y, et al. Glabridin Functions as a Quorum Sensing Inhibitor to Inhibit Biofilm Formation and Swarming Motility of Multidrug-Resistant Acinetobacter baumannii.</w:t>
      </w:r>
      <w:r>
        <w:t xml:space="preserve"> </w:t>
      </w:r>
      <w:r>
        <w:rPr>
          <w:iCs/>
          <w:i/>
        </w:rPr>
        <w:t xml:space="preserve">Infection and drug resistance</w:t>
      </w:r>
      <w:r>
        <w:t xml:space="preserve">. 2023;16(9):5697-5705. doi:10.2147/IDR.S417751 PMID:37667809 PMCID:PMC10475287</w:t>
      </w:r>
    </w:p>
    <w:p>
      <w:pPr>
        <w:numPr>
          <w:ilvl w:val="0"/>
          <w:numId w:val="1009"/>
        </w:numPr>
        <w:pStyle w:val="Compact"/>
      </w:pPr>
      <w:r>
        <w:t xml:space="preserve">Ribeiro et al. Eugenol as a promising antibiofilm and anti-quorum sensing agent: A systematic review.</w:t>
      </w:r>
      <w:r>
        <w:t xml:space="preserve"> </w:t>
      </w:r>
      <w:r>
        <w:rPr>
          <w:iCs/>
          <w:i/>
        </w:rPr>
        <w:t xml:space="preserve">Microbial pathogenesis</w:t>
      </w:r>
      <w:r>
        <w:t xml:space="preserve">. 2024. doi:10.1016/j.micpath.2024.106937 PMID:39293727</w:t>
      </w:r>
    </w:p>
    <w:p>
      <w:pPr>
        <w:numPr>
          <w:ilvl w:val="0"/>
          <w:numId w:val="1009"/>
        </w:numPr>
        <w:pStyle w:val="Compact"/>
      </w:pPr>
      <w:r>
        <w:t xml:space="preserve">Majidi Fard Z, Irani Mavi N, Akbari S, Erfani Y, Eghtedari S. Investigation of Peppermint (Mentha piperita) Extract on the Inhibition of Biofilm Formation by Acinetobacter baumannii Strains Isolated from Clinical Samples.</w:t>
      </w:r>
      <w:r>
        <w:t xml:space="preserve"> </w:t>
      </w:r>
      <w:r>
        <w:rPr>
          <w:iCs/>
          <w:i/>
        </w:rPr>
        <w:t xml:space="preserve">Iranian journal of pharmaceutical research : IJPR</w:t>
      </w:r>
      <w:r>
        <w:t xml:space="preserve">. 2025;24(1):182-9. doi:10.5812/ijpr-160772 PMID:40718444 PMCID:PMC12297010</w:t>
      </w:r>
    </w:p>
    <w:p>
      <w:pPr>
        <w:numPr>
          <w:ilvl w:val="0"/>
          <w:numId w:val="1009"/>
        </w:numPr>
        <w:pStyle w:val="Compact"/>
      </w:pPr>
      <w:r>
        <w:t xml:space="preserve">Masoomi et al. Salvia abrotanoides leaves and flowers essential oils inhibit the quorum-sensing system of extensively drug-resistant (XDR) Acinetobacter baumannii.</w:t>
      </w:r>
      <w:r>
        <w:t xml:space="preserve"> </w:t>
      </w:r>
      <w:r>
        <w:rPr>
          <w:iCs/>
          <w:i/>
        </w:rPr>
        <w:t xml:space="preserve">Microbial pathogenesis</w:t>
      </w:r>
      <w:r>
        <w:t xml:space="preserve">. 2025. doi:10.1016/j.micpath.2025.108256 PMID:41422868</w:t>
      </w:r>
    </w:p>
    <w:p>
      <w:pPr>
        <w:numPr>
          <w:ilvl w:val="0"/>
          <w:numId w:val="1009"/>
        </w:numPr>
        <w:pStyle w:val="Compact"/>
      </w:pPr>
      <w:r>
        <w:t xml:space="preserve">Nicol M, Alexandre S, Luizet JB, Skogman M, Jouenne T, Salcedo SP, et al. Unsaturated Fatty Acids Affect Quorum Sensing Communication System and Inhibit Motility and Biofilm Formation of Acinetobacter baumannii.</w:t>
      </w:r>
      <w:r>
        <w:t xml:space="preserve"> </w:t>
      </w:r>
      <w:r>
        <w:rPr>
          <w:iCs/>
          <w:i/>
        </w:rPr>
        <w:t xml:space="preserve">International journal of molecular sciences</w:t>
      </w:r>
      <w:r>
        <w:t xml:space="preserve">. 2018;19(1):538-582. doi:10.3390/ijms19010214 PMID:29320462 PMCID:PMC5796163</w:t>
      </w:r>
    </w:p>
    <w:p>
      <w:pPr>
        <w:numPr>
          <w:ilvl w:val="0"/>
          <w:numId w:val="1009"/>
        </w:numPr>
        <w:pStyle w:val="Compact"/>
      </w:pPr>
      <w:r>
        <w:t xml:space="preserve">Khadke SK, Lee JH, Kim YG, Raj V, Lee J. Assessment of Antibiofilm Potencies of Nervonic and Oleic Acid against Acinetobacter baumannii Using In Vitro and Computational Approaches.</w:t>
      </w:r>
      <w:r>
        <w:t xml:space="preserve"> </w:t>
      </w:r>
      <w:r>
        <w:rPr>
          <w:iCs/>
          <w:i/>
        </w:rPr>
        <w:t xml:space="preserve">Biomedicines</w:t>
      </w:r>
      <w:r>
        <w:t xml:space="preserve">. 2021;9(9):1626-1636. doi:10.3390/biomedicines9091133 PMID:34572317 PMCID:PMC8466663</w:t>
      </w:r>
    </w:p>
    <w:p>
      <w:pPr>
        <w:numPr>
          <w:ilvl w:val="0"/>
          <w:numId w:val="1009"/>
        </w:numPr>
        <w:pStyle w:val="Compact"/>
      </w:pPr>
      <w:r>
        <w:t xml:space="preserve">Firdose et al. Antibacterial mechanism of Pseudomonas aeruginosa UKMP14T rhamnolipids against multidrug resistant Acinetobacter baumannii.</w:t>
      </w:r>
      <w:r>
        <w:t xml:space="preserve"> </w:t>
      </w:r>
      <w:r>
        <w:rPr>
          <w:iCs/>
          <w:i/>
        </w:rPr>
        <w:t xml:space="preserve">Microbial pathogenesis</w:t>
      </w:r>
      <w:r>
        <w:t xml:space="preserve">. 2024. doi:10.1016/j.micpath.2024.106743 PMID:38879138</w:t>
      </w:r>
    </w:p>
    <w:p>
      <w:pPr>
        <w:numPr>
          <w:ilvl w:val="0"/>
          <w:numId w:val="1009"/>
        </w:numPr>
        <w:pStyle w:val="Compact"/>
      </w:pPr>
      <w:r>
        <w:t xml:space="preserve">Bhargava et al. Attenuation of quorum sensing-mediated virulence of Acinetobacter baumannii by Glycyrrhiza glabra flavonoids.</w:t>
      </w:r>
      <w:r>
        <w:t xml:space="preserve"> </w:t>
      </w:r>
      <w:r>
        <w:rPr>
          <w:iCs/>
          <w:i/>
        </w:rPr>
        <w:t xml:space="preserve">Future microbiology</w:t>
      </w:r>
      <w:r>
        <w:t xml:space="preserve">. 2015. doi:10.2217/fmb.15.107 PMID:26582430</w:t>
      </w:r>
    </w:p>
    <w:p>
      <w:pPr>
        <w:numPr>
          <w:ilvl w:val="0"/>
          <w:numId w:val="1009"/>
        </w:numPr>
        <w:pStyle w:val="Compact"/>
      </w:pPr>
      <w:r>
        <w:t xml:space="preserve">Tuttobene MR, Müller GL, Blasco L, Arana N, Hourcade M, Diacovich L, et al. Blue light directly modulates the quorum network in the human pathogen Acinetobacter baumannii.</w:t>
      </w:r>
      <w:r>
        <w:t xml:space="preserve"> </w:t>
      </w:r>
      <w:r>
        <w:rPr>
          <w:iCs/>
          <w:i/>
        </w:rPr>
        <w:t xml:space="preserve">Scientific reports</w:t>
      </w:r>
      <w:r>
        <w:t xml:space="preserve">. 2021;11(Pt 12):318-327. doi:10.1038/s41598-021-92845-1 PMID:34183737 PMCID:PMC8239052</w:t>
      </w:r>
    </w:p>
    <w:p>
      <w:pPr>
        <w:numPr>
          <w:ilvl w:val="0"/>
          <w:numId w:val="1009"/>
        </w:numPr>
        <w:pStyle w:val="Compact"/>
      </w:pPr>
      <w:r>
        <w:t xml:space="preserve">Pimentel C, Le C, Tuttobene MR, Subils T, Papp-Wallace KM, Bonomo RA, et al. Interaction of Acinetobacter baumannii with Human Serum Albumin: Does the Host Determine the Outcome?.</w:t>
      </w:r>
      <w:r>
        <w:t xml:space="preserve"> </w:t>
      </w:r>
      <w:r>
        <w:rPr>
          <w:iCs/>
          <w:i/>
        </w:rPr>
        <w:t xml:space="preserve">Antibiotics (Basel, Switzerland)</w:t>
      </w:r>
      <w:r>
        <w:t xml:space="preserve">. 2021;10(7):1-12. doi:10.3390/antibiotics10070833 PMID:34356754 PMCID:PMC8300715</w:t>
      </w:r>
    </w:p>
    <w:p>
      <w:pPr>
        <w:numPr>
          <w:ilvl w:val="0"/>
          <w:numId w:val="1009"/>
        </w:numPr>
        <w:pStyle w:val="Compact"/>
      </w:pPr>
      <w:r>
        <w:t xml:space="preserve">Pimentel C, Le C, Tuttobene MR, Subils T, Martinez J, Sieira R, et al. Human Pleural Fluid and Human Serum Albumin Modulate the Behavior of a Hypervirulent and Multidrug-Resistant (MDR) Acinetobacter baumannii Representative Strain.</w:t>
      </w:r>
      <w:r>
        <w:t xml:space="preserve"> </w:t>
      </w:r>
      <w:r>
        <w:rPr>
          <w:iCs/>
          <w:i/>
        </w:rPr>
        <w:t xml:space="preserve">Pathogens (Basel, Switzerland)</w:t>
      </w:r>
      <w:r>
        <w:t xml:space="preserve">. 2021;10(4):409-447. doi:10.3390/pathogens10040471 PMID:33924559 PMCID:PMC8069197</w:t>
      </w:r>
    </w:p>
    <w:p>
      <w:pPr>
        <w:numPr>
          <w:ilvl w:val="0"/>
          <w:numId w:val="1009"/>
        </w:numPr>
        <w:pStyle w:val="Compact"/>
      </w:pPr>
      <w:r>
        <w:t xml:space="preserve">Zhang Y, Brackman G, Coenye T. Pitfalls associated with evaluating enzymatic quorum quenching activity: the case of MomL and its effect on Pseudomonas aeruginosa and Acinetobacter baumannii biofilms.</w:t>
      </w:r>
      <w:r>
        <w:t xml:space="preserve"> </w:t>
      </w:r>
      <w:r>
        <w:rPr>
          <w:iCs/>
          <w:i/>
        </w:rPr>
        <w:t xml:space="preserve">PeerJ</w:t>
      </w:r>
      <w:r>
        <w:t xml:space="preserve">. 2017;5(6):105-113. doi:10.7717/peerj.3251 PMID:28462048 PMCID:PMC5410158</w:t>
      </w:r>
    </w:p>
    <w:p>
      <w:pPr>
        <w:numPr>
          <w:ilvl w:val="0"/>
          <w:numId w:val="1009"/>
        </w:numPr>
        <w:pStyle w:val="Compact"/>
      </w:pPr>
      <w:r>
        <w:t xml:space="preserve">Bergonzi C, Schwab M, Naik T, Daudé D, Chabrière E, Elias M. Structural and Biochemical Characterization of AaL, a Quorum Quenching Lactonase with Unusual Kinetic Properties.</w:t>
      </w:r>
      <w:r>
        <w:t xml:space="preserve"> </w:t>
      </w:r>
      <w:r>
        <w:rPr>
          <w:iCs/>
          <w:i/>
        </w:rPr>
        <w:t xml:space="preserve">Scientific reports</w:t>
      </w:r>
      <w:r>
        <w:t xml:space="preserve">. 2018;8(Spec No):4360-4365. doi:10.1038/s41598-018-28988-5 PMID:30050039 PMCID:PMC6062542</w:t>
      </w:r>
    </w:p>
    <w:p>
      <w:pPr>
        <w:numPr>
          <w:ilvl w:val="0"/>
          <w:numId w:val="1009"/>
        </w:numPr>
        <w:pStyle w:val="Compact"/>
      </w:pPr>
      <w:r>
        <w:t xml:space="preserve">López M, Mayer C, Fernández-García L, Blasco L, Muras A, Ruiz FM, et al. Quorum sensing network in clinical strains of A. baumannii: AidA is a new quorum quenching enzyme.</w:t>
      </w:r>
      <w:r>
        <w:t xml:space="preserve"> </w:t>
      </w:r>
      <w:r>
        <w:rPr>
          <w:iCs/>
          <w:i/>
        </w:rPr>
        <w:t xml:space="preserve">PloS one</w:t>
      </w:r>
      <w:r>
        <w:t xml:space="preserve">. 2017;12(3):73-111. doi:10.1371/journal.pone.0174454 PMID:28328989 PMCID:PMC5362224</w:t>
      </w:r>
    </w:p>
    <w:p>
      <w:pPr>
        <w:numPr>
          <w:ilvl w:val="0"/>
          <w:numId w:val="1009"/>
        </w:numPr>
        <w:pStyle w:val="Compact"/>
      </w:pPr>
      <w:r>
        <w:t xml:space="preserve">Vogel et al. Fighting Acinetobacter baumannii infections with the acylase PvdQ.</w:t>
      </w:r>
      <w:r>
        <w:t xml:space="preserve"> </w:t>
      </w:r>
      <w:r>
        <w:rPr>
          <w:iCs/>
          <w:i/>
        </w:rPr>
        <w:t xml:space="preserve">Microbes and infection</w:t>
      </w:r>
      <w:r>
        <w:t xml:space="preserve">. 2022. doi:10.1016/j.micinf.2022.104951 PMID:35151875</w:t>
      </w:r>
    </w:p>
    <w:p>
      <w:pPr>
        <w:numPr>
          <w:ilvl w:val="0"/>
          <w:numId w:val="1009"/>
        </w:numPr>
        <w:pStyle w:val="Compact"/>
      </w:pPr>
      <w:r>
        <w:t xml:space="preserve">Chow JY, Yang Y, Tay SB, Chua KL, Yew WS. Disruption of biofilm formation by the human pathogen Acinetobacter baumannii using engineered quorum-quenching lactonases.</w:t>
      </w:r>
      <w:r>
        <w:t xml:space="preserve"> </w:t>
      </w:r>
      <w:r>
        <w:rPr>
          <w:iCs/>
          <w:i/>
        </w:rPr>
        <w:t xml:space="preserve">Antimicrobial agents and chemotherapy</w:t>
      </w:r>
      <w:r>
        <w:t xml:space="preserve">. 2013;58(3):1802-1805. doi:10.1128/AAC.02410-13 PMID:24379199 PMCID:PMC3957888</w:t>
      </w:r>
    </w:p>
    <w:p>
      <w:pPr>
        <w:numPr>
          <w:ilvl w:val="0"/>
          <w:numId w:val="1009"/>
        </w:numPr>
        <w:pStyle w:val="Compact"/>
      </w:pPr>
      <w:r>
        <w:t xml:space="preserve">Mayer C, Muras A, Parga A, Romero M, Rumbo-Feal S, Poza M, et al. Quorum Sensing as a Target for Controlling Surface Associated Motility and Biofilm Formation in Acinetobacter baumannii ATCC® 17978TM.</w:t>
      </w:r>
      <w:r>
        <w:t xml:space="preserve"> </w:t>
      </w:r>
      <w:r>
        <w:rPr>
          <w:iCs/>
          <w:i/>
        </w:rPr>
        <w:t xml:space="preserve">Frontiers in microbiology</w:t>
      </w:r>
      <w:r>
        <w:t xml:space="preserve">. 2020;11(e36696):443-445. doi:10.3389/fmicb.2020.565548 PMID:33101239 PMCID:PMC7554515</w:t>
      </w:r>
    </w:p>
    <w:p>
      <w:pPr>
        <w:numPr>
          <w:ilvl w:val="0"/>
          <w:numId w:val="1009"/>
        </w:numPr>
        <w:pStyle w:val="Compact"/>
      </w:pPr>
      <w:r>
        <w:t xml:space="preserve">Luo LM, Wu LJ, Xiao YL, Zhao D, Chen ZX, Kang M, et al. Enhancing pili assembly and biofilm formation in Acinetobacter baumannii ATCC19606 using non-native acyl-homoserine lactones.</w:t>
      </w:r>
      <w:r>
        <w:t xml:space="preserve"> </w:t>
      </w:r>
      <w:r>
        <w:rPr>
          <w:iCs/>
          <w:i/>
        </w:rPr>
        <w:t xml:space="preserve">BMC microbiology</w:t>
      </w:r>
      <w:r>
        <w:t xml:space="preserve">. 2015;15(4):939-51. doi:10.1186/s12866-015-0397-5 PMID:25888221 PMCID:PMC4381447</w:t>
      </w:r>
    </w:p>
    <w:p>
      <w:pPr>
        <w:numPr>
          <w:ilvl w:val="0"/>
          <w:numId w:val="1009"/>
        </w:numPr>
        <w:pStyle w:val="Compact"/>
      </w:pPr>
      <w:r>
        <w:t xml:space="preserve">Kim HJ, Kim NY, Ko SY, Park SY, Oh MH, Shin MS, et al. Complementary Regulation of BfmRS Two-Component and AbaIR Quorum Sensing Systems to Express Virulence-Associated Genes in Acinetobacter baumannii.</w:t>
      </w:r>
      <w:r>
        <w:t xml:space="preserve"> </w:t>
      </w:r>
      <w:r>
        <w:rPr>
          <w:iCs/>
          <w:i/>
        </w:rPr>
        <w:t xml:space="preserve">International journal of molecular sciences</w:t>
      </w:r>
      <w:r>
        <w:t xml:space="preserve">. 2022;23(21):297-308. doi:10.3390/ijms232113136 PMID:36361923 PMCID:PMC9657202</w:t>
      </w:r>
    </w:p>
    <w:p>
      <w:pPr>
        <w:numPr>
          <w:ilvl w:val="0"/>
          <w:numId w:val="1009"/>
        </w:numPr>
        <w:pStyle w:val="Compact"/>
      </w:pPr>
      <w:r>
        <w:t xml:space="preserve">Kim N, Son JH, Kim K, Kim HJ, Kim YJ, Shin M, et al. Global regulator DksA modulates virulence of Acinetobacter baumannii.</w:t>
      </w:r>
      <w:r>
        <w:t xml:space="preserve"> </w:t>
      </w:r>
      <w:r>
        <w:rPr>
          <w:iCs/>
          <w:i/>
        </w:rPr>
        <w:t xml:space="preserve">Virulence</w:t>
      </w:r>
      <w:r>
        <w:t xml:space="preserve">. 2021;12(1):2750-2763. doi:10.1080/21505594.2021.1995253 PMID:34696704 PMCID:PMC8583241</w:t>
      </w:r>
    </w:p>
    <w:p>
      <w:pPr>
        <w:numPr>
          <w:ilvl w:val="0"/>
          <w:numId w:val="1009"/>
        </w:numPr>
        <w:pStyle w:val="Compact"/>
      </w:pPr>
      <w:r>
        <w:t xml:space="preserve">Aruwa et al. Modulating Acinetobacter baumannii BfmR (RstA) drug target: Daniellia oliveri compounds as RstA quorum sensing inhibitors.</w:t>
      </w:r>
      <w:r>
        <w:t xml:space="preserve"> </w:t>
      </w:r>
      <w:r>
        <w:rPr>
          <w:iCs/>
          <w:i/>
        </w:rPr>
        <w:t xml:space="preserve">Computational biology and chemistry</w:t>
      </w:r>
      <w:r>
        <w:t xml:space="preserve">. 2025. doi:10.1016/j.compbiolchem.2025.108413 PMID:40056709</w:t>
      </w:r>
    </w:p>
    <w:p>
      <w:pPr>
        <w:numPr>
          <w:ilvl w:val="0"/>
          <w:numId w:val="1009"/>
        </w:numPr>
        <w:pStyle w:val="Compact"/>
      </w:pPr>
      <w:r>
        <w:t xml:space="preserve">López M, Blasco L, Gato E, Perez A, Fernández-Garcia L, Martínez-Martinez L, et al. Response to Bile Salts in Clinical Strains of Acinetobacter baumannii Lacking the AdeABC Efflux Pump: Virulence Associated with Quorum Sensing.</w:t>
      </w:r>
      <w:r>
        <w:t xml:space="preserve"> </w:t>
      </w:r>
      <w:r>
        <w:rPr>
          <w:iCs/>
          <w:i/>
        </w:rPr>
        <w:t xml:space="preserve">Frontiers in cellular and infection microbiology</w:t>
      </w:r>
      <w:r>
        <w:t xml:space="preserve">. 2017;7(Pt 4):443-455. doi:10.3389/fcimb.2017.00143 PMID:28536672 PMCID:PMC5423435</w:t>
      </w:r>
    </w:p>
    <w:p>
      <w:pPr>
        <w:numPr>
          <w:ilvl w:val="0"/>
          <w:numId w:val="1009"/>
        </w:numPr>
        <w:pStyle w:val="Compact"/>
      </w:pPr>
      <w:r>
        <w:t xml:space="preserve">Xie L, Li J, Peng Q, Liu X, Lin F, Dai X, et al. Contribution of RND superfamily multidrug efflux pumps AdeABC, AdeFGH, and AdeIJK to antimicrobial resistance and virulence factors in multidrug-resistant Acinetobacter baumannii AYE.</w:t>
      </w:r>
      <w:r>
        <w:t xml:space="preserve"> </w:t>
      </w:r>
      <w:r>
        <w:rPr>
          <w:iCs/>
          <w:i/>
        </w:rPr>
        <w:t xml:space="preserve">Antimicrobial agents and chemotherapy</w:t>
      </w:r>
      <w:r>
        <w:t xml:space="preserve">. 2025;69(7):148-165. doi:10.1128/aac.01858-24 PMID:40407309 PMCID:PMC12217454</w:t>
      </w:r>
    </w:p>
    <w:p>
      <w:pPr>
        <w:numPr>
          <w:ilvl w:val="0"/>
          <w:numId w:val="1009"/>
        </w:numPr>
        <w:pStyle w:val="Compact"/>
      </w:pPr>
      <w:r>
        <w:t xml:space="preserve">He X, Lu F, Yuan F, Jiang D, Zhao P, Zhu J, et al. Biofilm Formation Caused by Clinical Acinetobacter baumannii Isolates Is Associated with Overexpression of the AdeFGH Efflux Pump.</w:t>
      </w:r>
      <w:r>
        <w:t xml:space="preserve"> </w:t>
      </w:r>
      <w:r>
        <w:rPr>
          <w:iCs/>
          <w:i/>
        </w:rPr>
        <w:t xml:space="preserve">Antimicrobial agents and chemotherapy</w:t>
      </w:r>
      <w:r>
        <w:t xml:space="preserve">. 2015;59(8):4817-4825. doi:10.1128/AAC.00877-15 PMID:26033730 PMCID:PMC4505227</w:t>
      </w:r>
    </w:p>
    <w:p>
      <w:pPr>
        <w:numPr>
          <w:ilvl w:val="0"/>
          <w:numId w:val="1009"/>
        </w:numPr>
        <w:pStyle w:val="Compact"/>
      </w:pPr>
      <w:r>
        <w:t xml:space="preserve">Chen R, Lv R, Xiao L, Wang M, Du Z, Tan Y, et al. A1S_2811, a CheA/Y-like hybrid two-component regulator from Acinetobacter baumannii ATCC17978, is involved in surface motility and biofilm formation in this bacterium.</w:t>
      </w:r>
      <w:r>
        <w:t xml:space="preserve"> </w:t>
      </w:r>
      <w:r>
        <w:rPr>
          <w:iCs/>
          <w:i/>
        </w:rPr>
        <w:t xml:space="preserve">MicrobiologyOpen</w:t>
      </w:r>
      <w:r>
        <w:t xml:space="preserve">. 2017;6(5):3628-3634. doi:10.1002/mbo3.510 PMID:28714256 PMCID:PMC5635159</w:t>
      </w:r>
    </w:p>
    <w:p>
      <w:pPr>
        <w:numPr>
          <w:ilvl w:val="0"/>
          <w:numId w:val="1009"/>
        </w:numPr>
        <w:pStyle w:val="Compact"/>
      </w:pPr>
      <w:r>
        <w:t xml:space="preserve">Yousefi Nojookambari N, Eslami G, Sadredinamin M, Vaezjalali M, Nikmanesh B, Dehbanipour R, et al. Sub-minimum inhibitory concentrations (sub-MICs) of colistin on Acinetobacter baumannii biofilm formation potency, adherence, and invasion to epithelial host cells: an experimental study in an Iranian children's referral hospital.</w:t>
      </w:r>
      <w:r>
        <w:t xml:space="preserve"> </w:t>
      </w:r>
      <w:r>
        <w:rPr>
          <w:iCs/>
          <w:i/>
        </w:rPr>
        <w:t xml:space="preserve">Microbiology spectrum</w:t>
      </w:r>
      <w:r>
        <w:t xml:space="preserve">. 2024;12(2):2715-2738. doi:10.1128/spectrum.02523-23 PMID:38230925 PMCID:PMC10846280</w:t>
      </w:r>
    </w:p>
    <w:p>
      <w:pPr>
        <w:numPr>
          <w:ilvl w:val="0"/>
          <w:numId w:val="1009"/>
        </w:numPr>
        <w:pStyle w:val="Compact"/>
      </w:pPr>
      <w:r>
        <w:t xml:space="preserve">Shenkutie AM, Zhang J, Yao M, Asrat D, Chow FWN, Leung PHM. Effects of Sub-Minimum Inhibitory Concentrations of Imipenem and Colistin on Expression of Biofilm-Specific Antibiotic Resistance and Virulence Genes in Acinetobacter baumannii Sequence Type 1894.</w:t>
      </w:r>
      <w:r>
        <w:t xml:space="preserve"> </w:t>
      </w:r>
      <w:r>
        <w:rPr>
          <w:iCs/>
          <w:i/>
        </w:rPr>
        <w:t xml:space="preserve">International journal of molecular sciences</w:t>
      </w:r>
      <w:r>
        <w:t xml:space="preserve">. 2022;23(20):3711-60. doi:10.3390/ijms232012705 PMID:36293559 PMCID:PMC9603859</w:t>
      </w:r>
    </w:p>
    <w:p>
      <w:pPr>
        <w:numPr>
          <w:ilvl w:val="0"/>
          <w:numId w:val="1009"/>
        </w:numPr>
        <w:pStyle w:val="Compact"/>
      </w:pPr>
      <w:r>
        <w:t xml:space="preserve">Cui B, Guo Q, Li X, Song S, Wang M, Wang G, et al. A response regulator controls Acinetobacter baumannii virulence by acting as an indole receptor.</w:t>
      </w:r>
      <w:r>
        <w:t xml:space="preserve"> </w:t>
      </w:r>
      <w:r>
        <w:rPr>
          <w:iCs/>
          <w:i/>
        </w:rPr>
        <w:t xml:space="preserve">PNAS nexus</w:t>
      </w:r>
      <w:r>
        <w:t xml:space="preserve">. 2023;2(8):269-275. doi:10.1093/pnasnexus/pgad274 PMID:37649583 PMCID:PMC10465187</w:t>
      </w:r>
    </w:p>
    <w:p>
      <w:pPr>
        <w:numPr>
          <w:ilvl w:val="0"/>
          <w:numId w:val="1009"/>
        </w:numPr>
        <w:pStyle w:val="Compact"/>
      </w:pPr>
      <w:r>
        <w:t xml:space="preserve">Mendes SG, Combo SI, Allain T, Domingues S, Buret AG, Da Silva GJ. Co-regulation of biofilm formation and antimicrobial resistance in Acinetobacter baumannii: from mechanisms to therapeutic strategies.</w:t>
      </w:r>
      <w:r>
        <w:t xml:space="preserve"> </w:t>
      </w:r>
      <w:r>
        <w:rPr>
          <w:iCs/>
          <w:i/>
        </w:rPr>
        <w:t xml:space="preserve">European journal of clinical microbiology &amp; infectious diseases : official publication of the European Society of Clinical Microbiology</w:t>
      </w:r>
      <w:r>
        <w:t xml:space="preserve">. 2023;42(12):1405-1423. doi:10.1007/s10096-023-04677-8 PMID:37897520 PMCID:PMC10651561</w:t>
      </w:r>
    </w:p>
    <w:p>
      <w:pPr>
        <w:numPr>
          <w:ilvl w:val="0"/>
          <w:numId w:val="1009"/>
        </w:numPr>
        <w:pStyle w:val="Compact"/>
      </w:pPr>
      <w:r>
        <w:t xml:space="preserve">Liu L, Huang Y, Wang Y, Jiang Y, Liu K, Pei Z, et al. Molecular Epidemiology and Genetic Characterization of Carbapenem-Resistant Acinetobacter baumannii Isolates from the ICU of a Tertiary Hospital in East China.</w:t>
      </w:r>
      <w:r>
        <w:t xml:space="preserve"> </w:t>
      </w:r>
      <w:r>
        <w:rPr>
          <w:iCs/>
          <w:i/>
        </w:rPr>
        <w:t xml:space="preserve">Infection and drug resistance</w:t>
      </w:r>
      <w:r>
        <w:t xml:space="preserve">. 2024;17(4):5925-5945. doi:10.2147/IDR.S491858 PMID:39759767 PMCID:PMC11699857</w:t>
      </w:r>
    </w:p>
    <w:p>
      <w:pPr>
        <w:numPr>
          <w:ilvl w:val="0"/>
          <w:numId w:val="1009"/>
        </w:numPr>
        <w:pStyle w:val="Compact"/>
      </w:pPr>
      <w:r>
        <w:t xml:space="preserve">Vinitha et al. Acinetobacter baumannii-rare virulence factors and pathogenesis: the impact of biofilm associated protein (Bap), outer membrane vesicles, and iron acquisition system.</w:t>
      </w:r>
      <w:r>
        <w:t xml:space="preserve"> </w:t>
      </w:r>
      <w:r>
        <w:rPr>
          <w:iCs/>
          <w:i/>
        </w:rPr>
        <w:t xml:space="preserve">Archives of microbiology</w:t>
      </w:r>
      <w:r>
        <w:t xml:space="preserve">. 2025. doi:10.1007/s00203-025-04623-6 PMID:41379337</w:t>
      </w:r>
    </w:p>
    <w:p>
      <w:pPr>
        <w:numPr>
          <w:ilvl w:val="0"/>
          <w:numId w:val="1009"/>
        </w:numPr>
        <w:pStyle w:val="Compact"/>
      </w:pPr>
      <w:r>
        <w:t xml:space="preserve">Rumbo-Feal S, Gómez MJ, Gayoso C, Álvarez-Fraga L, Cabral MP, Aransay AM, et al. Whole transcriptome analysis of Acinetobacter baumannii assessed by RNA-sequencing reveals different mRNA expression profiles in biofilm compared to planktonic cells.</w:t>
      </w:r>
      <w:r>
        <w:t xml:space="preserve"> </w:t>
      </w:r>
      <w:r>
        <w:rPr>
          <w:iCs/>
          <w:i/>
        </w:rPr>
        <w:t xml:space="preserve">PloS one</w:t>
      </w:r>
      <w:r>
        <w:t xml:space="preserve">. 2013;8(8):4086-4095. doi:10.1371/journal.pone.0072968 PMID:24023660 PMCID:PMC3758355</w:t>
      </w:r>
    </w:p>
    <w:p>
      <w:pPr>
        <w:numPr>
          <w:ilvl w:val="0"/>
          <w:numId w:val="1009"/>
        </w:numPr>
        <w:pStyle w:val="Compact"/>
      </w:pPr>
      <w:r>
        <w:t xml:space="preserve">Hatami Moghadam et al. Assessment of biofilm formation among clinical isolates of Acinetobacter baumannii in burn wounds in the west of Iran.</w:t>
      </w:r>
      <w:r>
        <w:t xml:space="preserve"> </w:t>
      </w:r>
      <w:r>
        <w:rPr>
          <w:iCs/>
          <w:i/>
        </w:rPr>
        <w:t xml:space="preserve">Cellular and molecular biology (Noisy-le-Grand, France)</w:t>
      </w:r>
      <w:r>
        <w:t xml:space="preserve">. 2018. PMID:30672433</w:t>
      </w:r>
    </w:p>
    <w:p>
      <w:pPr>
        <w:numPr>
          <w:ilvl w:val="0"/>
          <w:numId w:val="1009"/>
        </w:numPr>
        <w:pStyle w:val="Compact"/>
      </w:pPr>
      <w:r>
        <w:t xml:space="preserve">Kostoulias X, Murray GL, Cerqueira GM, Kong JB, Bantun F, Mylonakis E, et al. Impact of a Cross-Kingdom Signaling Molecule of Candida albicans on Acinetobacter baumannii Physiology.</w:t>
      </w:r>
      <w:r>
        <w:t xml:space="preserve"> </w:t>
      </w:r>
      <w:r>
        <w:rPr>
          <w:iCs/>
          <w:i/>
        </w:rPr>
        <w:t xml:space="preserve">Antimicrobial agents and chemotherapy</w:t>
      </w:r>
      <w:r>
        <w:t xml:space="preserve">. 2015;60(1):161-167. doi:10.1128/AAC.01540-15 PMID:26482299 PMCID:PMC4704244</w:t>
      </w:r>
    </w:p>
    <w:p>
      <w:pPr>
        <w:numPr>
          <w:ilvl w:val="0"/>
          <w:numId w:val="1009"/>
        </w:numPr>
        <w:pStyle w:val="Compact"/>
      </w:pPr>
      <w:r>
        <w:t xml:space="preserve">Guo T, Zhou N, Yang L, Wang Z, Huan C, Lin T, et al. Acinetobacter baumannii biofilm was inhibited by tryptanthrin through disrupting its different stages and genes expression.</w:t>
      </w:r>
      <w:r>
        <w:t xml:space="preserve"> </w:t>
      </w:r>
      <w:r>
        <w:rPr>
          <w:iCs/>
          <w:i/>
        </w:rPr>
        <w:t xml:space="preserve">iScience</w:t>
      </w:r>
      <w:r>
        <w:t xml:space="preserve">. 2024;27(6):563-575. doi:10.1016/j.isci.2024.109942 PMID:38812547 PMCID:PMC11134903</w:t>
      </w:r>
    </w:p>
    <w:p>
      <w:pPr>
        <w:numPr>
          <w:ilvl w:val="0"/>
          <w:numId w:val="1009"/>
        </w:numPr>
        <w:pStyle w:val="Compact"/>
      </w:pPr>
      <w:r>
        <w:t xml:space="preserve">Ghavanloughajar H, Elmassry MM, Brown AMV, Hamood AN. Human whole blood influences the expression of Acinetobacter baumannii genes related to translation and siderophore production.</w:t>
      </w:r>
      <w:r>
        <w:t xml:space="preserve"> </w:t>
      </w:r>
      <w:r>
        <w:rPr>
          <w:iCs/>
          <w:i/>
        </w:rPr>
        <w:t xml:space="preserve">PloS one</w:t>
      </w:r>
      <w:r>
        <w:t xml:space="preserve">. 2025;20(7):185-6. doi:10.1371/journal.pone.0326330 PMID:40705813 PMCID:PMC12289009</w:t>
      </w:r>
    </w:p>
    <w:p>
      <w:pPr>
        <w:numPr>
          <w:ilvl w:val="0"/>
          <w:numId w:val="1009"/>
        </w:numPr>
        <w:pStyle w:val="Compact"/>
      </w:pPr>
      <w:r>
        <w:t xml:space="preserve">Law et al. The role of quorum sensing, biofilm formation, and iron acquisition as key virulence mechanisms in Acinetobacter baumannii and the corresponding anti-virulence strategies.</w:t>
      </w:r>
      <w:r>
        <w:t xml:space="preserve"> </w:t>
      </w:r>
      <w:r>
        <w:rPr>
          <w:iCs/>
          <w:i/>
        </w:rPr>
        <w:t xml:space="preserve">Microbiological research</w:t>
      </w:r>
      <w:r>
        <w:t xml:space="preserve">. 2022. doi:10.1016/j.micres.2022.127032 PMID:35483311</w:t>
      </w:r>
    </w:p>
    <w:p>
      <w:pPr>
        <w:numPr>
          <w:ilvl w:val="0"/>
          <w:numId w:val="1009"/>
        </w:numPr>
        <w:pStyle w:val="Compact"/>
      </w:pPr>
      <w:r>
        <w:t xml:space="preserve">Chen et al. Emergence of extensively-drug-resistant hypervirulent Acinetobacter baumannii isolated from patients with bacteraemia: bacterial phenotype and virulence analysis.</w:t>
      </w:r>
      <w:r>
        <w:t xml:space="preserve"> </w:t>
      </w:r>
      <w:r>
        <w:rPr>
          <w:iCs/>
          <w:i/>
        </w:rPr>
        <w:t xml:space="preserve">International journal of antimicrobial agents</w:t>
      </w:r>
      <w:r>
        <w:t xml:space="preserve">. 2024. doi:10.1016/j.ijantimicag.2024.107358 PMID:39414173</w:t>
      </w:r>
    </w:p>
    <w:p>
      <w:pPr>
        <w:numPr>
          <w:ilvl w:val="0"/>
          <w:numId w:val="1009"/>
        </w:numPr>
        <w:pStyle w:val="Compact"/>
      </w:pPr>
      <w:r>
        <w:t xml:space="preserve">Pérez-Varela M, Tierney ARP, Kim JS, Vázquez-Torres A, Rather P. Characterization of RelA in Acinetobacter baumannii.</w:t>
      </w:r>
      <w:r>
        <w:t xml:space="preserve"> </w:t>
      </w:r>
      <w:r>
        <w:rPr>
          <w:iCs/>
          <w:i/>
        </w:rPr>
        <w:t xml:space="preserve">Journal of bacteriology</w:t>
      </w:r>
      <w:r>
        <w:t xml:space="preserve">. 2020;202(12). doi:10.1128/JB.00045-20 PMID:32229531 PMCID:PMC7253615</w:t>
      </w:r>
    </w:p>
    <w:p>
      <w:pPr>
        <w:numPr>
          <w:ilvl w:val="0"/>
          <w:numId w:val="1009"/>
        </w:numPr>
        <w:pStyle w:val="Compact"/>
      </w:pPr>
      <w:r>
        <w:t xml:space="preserve">Harkova LG, de Dios R, Rubio-Valle A, Pérez-Pulido AJ, McCarthy RR. Cyclic AMP is a global virulence regulator governing inter and intrabacterial signalling in Acinetobacter baumannii.</w:t>
      </w:r>
      <w:r>
        <w:t xml:space="preserve"> </w:t>
      </w:r>
      <w:r>
        <w:rPr>
          <w:iCs/>
          <w:i/>
        </w:rPr>
        <w:t xml:space="preserve">PLoS pathogens</w:t>
      </w:r>
      <w:r>
        <w:t xml:space="preserve">. 2024;20(9):629-655. doi:10.1371/journal.ppat.1012529 PMID:39241032 PMCID:PMC11410210</w:t>
      </w:r>
    </w:p>
    <w:p>
      <w:pPr>
        <w:numPr>
          <w:ilvl w:val="0"/>
          <w:numId w:val="1009"/>
        </w:numPr>
        <w:pStyle w:val="Compact"/>
      </w:pPr>
      <w:r>
        <w:t xml:space="preserve">Bhargava et al. N-acyl homoserine lactone mediated interspecies interactions between A. baumannii and P. aeruginosa.</w:t>
      </w:r>
      <w:r>
        <w:t xml:space="preserve"> </w:t>
      </w:r>
      <w:r>
        <w:rPr>
          <w:iCs/>
          <w:i/>
        </w:rPr>
        <w:t xml:space="preserve">Biofouling</w:t>
      </w:r>
      <w:r>
        <w:t xml:space="preserve">. 2012. doi:10.1080/08927014.2012.714372 PMID:22867087</w:t>
      </w:r>
    </w:p>
    <w:p>
      <w:pPr>
        <w:numPr>
          <w:ilvl w:val="0"/>
          <w:numId w:val="1009"/>
        </w:numPr>
        <w:pStyle w:val="Compact"/>
      </w:pPr>
      <w:r>
        <w:t xml:space="preserve">Peleg AY, Tampakakis E, Fuchs BB, Eliopoulos GM, Moellering RC, Mylonakis E. Prokaryote-eukaryote interactions identified by using Caenorhabditis elegans.</w:t>
      </w:r>
      <w:r>
        <w:t xml:space="preserve"> </w:t>
      </w:r>
      <w:r>
        <w:rPr>
          <w:iCs/>
          <w:i/>
        </w:rPr>
        <w:t xml:space="preserve">Proceedings of the National Academy of Sciences of the United States of America</w:t>
      </w:r>
      <w:r>
        <w:t xml:space="preserve">. 2008;105(38):14585-14590. doi:10.1073/pnas.0805048105 PMID:18794525 PMCID:PMC2567192</w:t>
      </w:r>
    </w:p>
    <w:p>
      <w:pPr>
        <w:numPr>
          <w:ilvl w:val="0"/>
          <w:numId w:val="1009"/>
        </w:numPr>
        <w:pStyle w:val="Compact"/>
      </w:pPr>
      <w:r>
        <w:t xml:space="preserve">Wheeler KM, Oh MW, Fusco J, Mershon A, Kim E, De Oliveira A, et al. MvfR Shapes Pseudomonas aeruginosa Interactions in Polymicrobial Contexts: Implications for Targeted Quorum-Sensing Inhibition.</w:t>
      </w:r>
      <w:r>
        <w:t xml:space="preserve"> </w:t>
      </w:r>
      <w:r>
        <w:rPr>
          <w:iCs/>
          <w:i/>
        </w:rPr>
        <w:t xml:space="preserve">Cells</w:t>
      </w:r>
      <w:r>
        <w:t xml:space="preserve">. 2025;14(10):1-8. doi:10.3390/cells14100744 PMID:40422247 PMCID:PMC12109783</w:t>
      </w:r>
    </w:p>
    <w:p>
      <w:pPr>
        <w:numPr>
          <w:ilvl w:val="0"/>
          <w:numId w:val="1009"/>
        </w:numPr>
        <w:pStyle w:val="Compact"/>
      </w:pPr>
      <w:r>
        <w:t xml:space="preserve">Cui B, Chen X, Guo Q, Song S, Wang M, Liu J, et al. The Cell-Cell Communication Signal Indole Controls the Physiology and Interspecies Communication of Acinetobacter baumannii.</w:t>
      </w:r>
      <w:r>
        <w:t xml:space="preserve"> </w:t>
      </w:r>
      <w:r>
        <w:rPr>
          <w:iCs/>
          <w:i/>
        </w:rPr>
        <w:t xml:space="preserve">Microbiology spectrum</w:t>
      </w:r>
      <w:r>
        <w:t xml:space="preserve">. 2022;10(4):269-275. doi:10.1128/spectrum.01027-22 PMID:35862954 PMCID:PMC9431217</w:t>
      </w:r>
    </w:p>
    <w:p>
      <w:pPr>
        <w:numPr>
          <w:ilvl w:val="0"/>
          <w:numId w:val="1009"/>
        </w:numPr>
        <w:pStyle w:val="Compact"/>
      </w:pPr>
      <w:r>
        <w:t xml:space="preserve">Li J, Xie L, Lin F, Ling B. Indole derivatives display antimicrobial and antibiofilm effects against extensively drug-resistant Acinetobacter baumannii.</w:t>
      </w:r>
      <w:r>
        <w:t xml:space="preserve"> </w:t>
      </w:r>
      <w:r>
        <w:rPr>
          <w:iCs/>
          <w:i/>
        </w:rPr>
        <w:t xml:space="preserve">Microbiology spectrum</w:t>
      </w:r>
      <w:r>
        <w:t xml:space="preserve">. 2025;13(5):148-165. doi:10.1128/spectrum.03388-24 PMID:40231681 PMCID:PMC12073863</w:t>
      </w:r>
    </w:p>
    <w:p>
      <w:pPr>
        <w:numPr>
          <w:ilvl w:val="0"/>
          <w:numId w:val="1009"/>
        </w:numPr>
        <w:pStyle w:val="Compact"/>
      </w:pPr>
      <w:r>
        <w:t xml:space="preserve">Tan X, Chen R, Zhu S, Wang H, Yan D, Zhang X, et al. Candida albicans Airway Colonization Facilitates Subsequent Acinetobacter baumannii Pneumonia in a Rat Model.</w:t>
      </w:r>
      <w:r>
        <w:t xml:space="preserve"> </w:t>
      </w:r>
      <w:r>
        <w:rPr>
          <w:iCs/>
          <w:i/>
        </w:rPr>
        <w:t xml:space="preserve">Antimicrobial agents and chemotherapy</w:t>
      </w:r>
      <w:r>
        <w:t xml:space="preserve">. 2016;60(6):3348-3354. doi:10.1128/AAC.02180-15 PMID:27001817 PMCID:PMC4879401</w:t>
      </w:r>
    </w:p>
    <w:p>
      <w:pPr>
        <w:numPr>
          <w:ilvl w:val="0"/>
          <w:numId w:val="1009"/>
        </w:numPr>
        <w:pStyle w:val="Compact"/>
      </w:pPr>
      <w:r>
        <w:t xml:space="preserve">Subbarayudu et al. Impact of acidic and alkaline conditions on Staphylococcus aureus and Acinetobacter baumannii interactions and their biofilms.</w:t>
      </w:r>
      <w:r>
        <w:t xml:space="preserve"> </w:t>
      </w:r>
      <w:r>
        <w:rPr>
          <w:iCs/>
          <w:i/>
        </w:rPr>
        <w:t xml:space="preserve">Archives of microbiology</w:t>
      </w:r>
      <w:r>
        <w:t xml:space="preserve">. 2024. doi:10.1007/s00203-024-04142-w PMID:39375235</w:t>
      </w:r>
    </w:p>
    <w:p>
      <w:pPr>
        <w:numPr>
          <w:ilvl w:val="0"/>
          <w:numId w:val="1009"/>
        </w:numPr>
        <w:pStyle w:val="Compact"/>
      </w:pPr>
      <w:r>
        <w:t xml:space="preserve">Djahanschiri B, Di Venanzio G, Distel JS, Breisch J, Dieckmann MA, Goesmann A, et al. Evolutionarily stable gene clusters shed light on the common grounds of pathogenicity in the Acinetobacter calcoaceticus-baumannii complex.</w:t>
      </w:r>
      <w:r>
        <w:t xml:space="preserve"> </w:t>
      </w:r>
      <w:r>
        <w:rPr>
          <w:iCs/>
          <w:i/>
        </w:rPr>
        <w:t xml:space="preserve">PLoS genetics</w:t>
      </w:r>
      <w:r>
        <w:t xml:space="preserve">. 2022;18(6):332-9. doi:10.1371/journal.pgen.1010020 PMID:35653398 PMCID:PMC9162365</w:t>
      </w:r>
    </w:p>
    <w:p>
      <w:pPr>
        <w:numPr>
          <w:ilvl w:val="0"/>
          <w:numId w:val="1009"/>
        </w:numPr>
        <w:pStyle w:val="Compact"/>
      </w:pPr>
      <w:r>
        <w:t xml:space="preserve">Kröger C, Kary SC, Schauer K, Cameron ADS. Genetic Regulation of Virulence and Antibiotic Resistance in Acinetobacter baumannii.</w:t>
      </w:r>
      <w:r>
        <w:t xml:space="preserve"> </w:t>
      </w:r>
      <w:r>
        <w:rPr>
          <w:iCs/>
          <w:i/>
        </w:rPr>
        <w:t xml:space="preserve">Genes</w:t>
      </w:r>
      <w:r>
        <w:t xml:space="preserve">. 2016;8(1):336-343. doi:10.3390/genes8010012 PMID:28036056 PMCID:PMC5295007</w:t>
      </w:r>
    </w:p>
    <w:p>
      <w:pPr>
        <w:numPr>
          <w:ilvl w:val="0"/>
          <w:numId w:val="1009"/>
        </w:numPr>
        <w:pStyle w:val="Compact"/>
      </w:pPr>
      <w:r>
        <w:t xml:space="preserve">Escalante J, Nishimura B, Tuttobene MR, Subils T, Pimentel C, Georgeos N, et al. Human serum albumin (HSA) regulates the expression of histone-like nucleoid structure protein (H-NS) in Acinetobacter baumannii.</w:t>
      </w:r>
      <w:r>
        <w:t xml:space="preserve"> </w:t>
      </w:r>
      <w:r>
        <w:rPr>
          <w:iCs/>
          <w:i/>
        </w:rPr>
        <w:t xml:space="preserve">Scientific reports</w:t>
      </w:r>
      <w:r>
        <w:t xml:space="preserve">. 2022;12(3):9-13. doi:10.1038/s41598-022-19012-y PMID:36030268 PMCID:PMC9420150</w:t>
      </w:r>
    </w:p>
    <w:p>
      <w:pPr>
        <w:numPr>
          <w:ilvl w:val="0"/>
          <w:numId w:val="1009"/>
        </w:numPr>
        <w:pStyle w:val="Compact"/>
      </w:pPr>
      <w:r>
        <w:t xml:space="preserve">Beasley JM, Dorjsuren D, Jain S, Rath M, Scheufen Tieghi R, Tropsha A, et al. Breaking the Phalanx: Overcoming Bacterial Drug Resistance with Quorum Sensing Inhibitors that Enhance Therapeutic Activity of Antibiotics.</w:t>
      </w:r>
      <w:r>
        <w:t xml:space="preserve"> </w:t>
      </w:r>
      <w:r>
        <w:rPr>
          <w:iCs/>
          <w:i/>
        </w:rPr>
        <w:t xml:space="preserve">bioRxiv : the preprint server for biology</w:t>
      </w:r>
      <w:r>
        <w:t xml:space="preserve">. 2025;2:6-327. doi:10.1101/2025.01.17.633658 PMID:39896648 PMCID:PMC11785035</w:t>
      </w:r>
    </w:p>
    <w:p>
      <w:pPr>
        <w:numPr>
          <w:ilvl w:val="0"/>
          <w:numId w:val="1009"/>
        </w:numPr>
        <w:pStyle w:val="Compact"/>
      </w:pPr>
      <w:r>
        <w:t xml:space="preserve">Su J, Tan Y, Liu S, Zou H, Huang X, Chen S, et al. Characterization of a novel lytic phage vB_AbaM_AB4P2 encoding depolymerase and its application in eliminating biofilms formed by Acinetobacter baumannii.</w:t>
      </w:r>
      <w:r>
        <w:t xml:space="preserve"> </w:t>
      </w:r>
      <w:r>
        <w:rPr>
          <w:iCs/>
          <w:i/>
        </w:rPr>
        <w:t xml:space="preserve">BMC microbiology</w:t>
      </w:r>
      <w:r>
        <w:t xml:space="preserve">. 2025;25(5):22-9. doi:10.1186/s12866-025-03854-3 PMID:40057696 PMCID:PMC11889872</w:t>
      </w:r>
    </w:p>
    <w:p>
      <w:pPr>
        <w:numPr>
          <w:ilvl w:val="0"/>
          <w:numId w:val="1009"/>
        </w:numPr>
        <w:pStyle w:val="Compact"/>
      </w:pPr>
      <w:r>
        <w:t xml:space="preserve">Vera-Jauregui E, Avila-Novoa MG, González-Torres B, Guerrero-Medina PJ, Chaidez C, González-López I, et al. A Newly Discovered Obolenskvirus Phage with Sustained Lytic Activity Against Multidrug-Resistant Acinetobacter baumannii.</w:t>
      </w:r>
      <w:r>
        <w:t xml:space="preserve"> </w:t>
      </w:r>
      <w:r>
        <w:rPr>
          <w:iCs/>
          <w:i/>
        </w:rPr>
        <w:t xml:space="preserve">Antibiotics (Basel, Switzerland)</w:t>
      </w:r>
      <w:r>
        <w:t xml:space="preserve">. 2025;14(10):e65-281. doi:10.3390/antibiotics14100961 PMID:41148653 PMCID:PMC12561047</w:t>
      </w:r>
    </w:p>
    <w:p>
      <w:pPr>
        <w:numPr>
          <w:ilvl w:val="0"/>
          <w:numId w:val="1009"/>
        </w:numPr>
        <w:pStyle w:val="Compact"/>
      </w:pPr>
      <w:r>
        <w:t xml:space="preserve">Duda-Madej A, Viscardi S, Bazan H, Sobieraj J. Exploring the Role of Berberine as a Molecular Disruptor in Antimicrobial Strategies.</w:t>
      </w:r>
      <w:r>
        <w:t xml:space="preserve"> </w:t>
      </w:r>
      <w:r>
        <w:rPr>
          <w:iCs/>
          <w:i/>
        </w:rPr>
        <w:t xml:space="preserve">Pharmaceuticals (Basel, Switzerland)</w:t>
      </w:r>
      <w:r>
        <w:t xml:space="preserve">. 2025;18(7):229-241. doi:10.3390/ph18070947 PMID:40732238 PMCID:PMC12299710</w:t>
      </w:r>
    </w:p>
    <w:p>
      <w:pPr>
        <w:numPr>
          <w:ilvl w:val="0"/>
          <w:numId w:val="1009"/>
        </w:numPr>
        <w:pStyle w:val="Compact"/>
      </w:pPr>
      <w:r>
        <w:t xml:space="preserve">Khafagy et al. Repurposing Nitroimidazoles: A New Frontier in Combatting Bacterial Virulence and Quorum Sensing via In Silico, In Vitro, and In Vivo Insights.</w:t>
      </w:r>
      <w:r>
        <w:t xml:space="preserve"> </w:t>
      </w:r>
      <w:r>
        <w:rPr>
          <w:iCs/>
          <w:i/>
        </w:rPr>
        <w:t xml:space="preserve">Drug development research</w:t>
      </w:r>
      <w:r>
        <w:t xml:space="preserve">. 2025. doi:10.1002/ddr.70101 PMID:40384051</w:t>
      </w:r>
    </w:p>
    <w:p>
      <w:pPr>
        <w:numPr>
          <w:ilvl w:val="0"/>
          <w:numId w:val="1009"/>
        </w:numPr>
        <w:pStyle w:val="Compact"/>
      </w:pPr>
      <w:r>
        <w:t xml:space="preserve">Arazi P, Skurnik M, Mohsenipour Z, Abtahi HR, Jahanbin B, Kianian F, et al. Genomic and functional characterization of a novel lytic phage vB-AbaM-fThrA with anti-biofilm activity against CR-MDR Acinetobacter baumannii.</w:t>
      </w:r>
      <w:r>
        <w:t xml:space="preserve"> </w:t>
      </w:r>
      <w:r>
        <w:rPr>
          <w:iCs/>
          <w:i/>
        </w:rPr>
        <w:t xml:space="preserve">BMC microbiology</w:t>
      </w:r>
      <w:r>
        <w:t xml:space="preserve">. 2025;26(10):6987-98. doi:10.1186/s12866-025-04525-z PMID:41420149 PMCID:PMC12859838</w:t>
      </w:r>
    </w:p>
    <w:p>
      <w:pPr>
        <w:numPr>
          <w:ilvl w:val="0"/>
          <w:numId w:val="1009"/>
        </w:numPr>
        <w:pStyle w:val="Compact"/>
      </w:pPr>
      <w:r>
        <w:t xml:space="preserve">de Villiers de la Noue H, Golliard G, Vuattoux X, Resch G. Rational Design of a Potent Two-Phage Cocktail Against a Contemporary Acinetobacter baumannii Strain Recovered from a Burned Patient at the Lausanne University Hospital.</w:t>
      </w:r>
      <w:r>
        <w:t xml:space="preserve"> </w:t>
      </w:r>
      <w:r>
        <w:rPr>
          <w:iCs/>
          <w:i/>
        </w:rPr>
        <w:t xml:space="preserve">Viruses</w:t>
      </w:r>
      <w:r>
        <w:t xml:space="preserve">. 2025;17(11):6987-6998. doi:10.3390/v17111441 PMID:41305464 PMCID:PMC12656882</w:t>
      </w:r>
    </w:p>
    <w:p>
      <w:pPr>
        <w:numPr>
          <w:ilvl w:val="0"/>
          <w:numId w:val="1009"/>
        </w:numPr>
        <w:pStyle w:val="Compact"/>
      </w:pPr>
      <w:r>
        <w:t xml:space="preserve">Elshamy et al. Genomic analysis and preclinical evaluation of two hydrogel-formulated novel virulent phages isolated against a carbapenem-resistant Acinetobacter baumannii.</w:t>
      </w:r>
      <w:r>
        <w:t xml:space="preserve"> </w:t>
      </w:r>
      <w:r>
        <w:rPr>
          <w:iCs/>
          <w:i/>
        </w:rPr>
        <w:t xml:space="preserve">Virology</w:t>
      </w:r>
      <w:r>
        <w:t xml:space="preserve">. 2025. doi:10.1016/j.virol.2025.110676 PMID:40916327</w:t>
      </w:r>
    </w:p>
    <w:p>
      <w:pPr>
        <w:numPr>
          <w:ilvl w:val="0"/>
          <w:numId w:val="1009"/>
        </w:numPr>
        <w:pStyle w:val="Compact"/>
      </w:pPr>
      <w:r>
        <w:t xml:space="preserve">World Health Organization.</w:t>
      </w:r>
      <w:r>
        <w:t xml:space="preserve"> </w:t>
      </w:r>
      <w:r>
        <w:rPr>
          <w:iCs/>
          <w:i/>
        </w:rPr>
        <w:t xml:space="preserve">WHO Bacterial Priority Pathogens List, 2024: Bacterial pathogens of public health importance to guide research, development, and strategies to prevent and control antimicrobial resistance</w:t>
      </w:r>
      <w:r>
        <w:t xml:space="preserve">. Geneva: WHO; 2024.</w:t>
      </w:r>
      <w:r>
        <w:t xml:space="preserve"> </w:t>
      </w:r>
      <w:hyperlink r:id="rId98">
        <w:r>
          <w:rPr>
            <w:rStyle w:val="Hyperlink"/>
          </w:rPr>
          <w:t xml:space="preserve">https://www.who.int/publications/i/item/9789240093461</w:t>
        </w:r>
      </w:hyperlink>
    </w:p>
    <w:p>
      <w:pPr>
        <w:numPr>
          <w:ilvl w:val="0"/>
          <w:numId w:val="1009"/>
        </w:numPr>
        <w:pStyle w:val="Compact"/>
      </w:pPr>
      <w:r>
        <w:t xml:space="preserve">Centers for Disease Control and Prevention.</w:t>
      </w:r>
      <w:r>
        <w:t xml:space="preserve"> </w:t>
      </w:r>
      <w:r>
        <w:rPr>
          <w:iCs/>
          <w:i/>
        </w:rPr>
        <w:t xml:space="preserve">Antibiotic Resistance Threats in the United States, 2019</w:t>
      </w:r>
      <w:r>
        <w:t xml:space="preserve">. Atlanta: U.S. Department of Health and Human Services, CDC; 2019.</w:t>
      </w:r>
      <w:r>
        <w:t xml:space="preserve"> </w:t>
      </w:r>
      <w:hyperlink r:id="rId99">
        <w:r>
          <w:rPr>
            <w:rStyle w:val="Hyperlink"/>
          </w:rPr>
          <w:t xml:space="preserve">https://www.cdc.gov/drugresistance/biggest-threats.html</w:t>
        </w:r>
      </w:hyperlink>
    </w:p>
    <w:p>
      <w:pPr>
        <w:numPr>
          <w:ilvl w:val="0"/>
          <w:numId w:val="1009"/>
        </w:numPr>
        <w:pStyle w:val="Compact"/>
      </w:pPr>
      <w:r>
        <w:t xml:space="preserve">Centers for Disease Control and Prevention.</w:t>
      </w:r>
      <w:r>
        <w:t xml:space="preserve"> </w:t>
      </w:r>
      <w:r>
        <w:rPr>
          <w:iCs/>
          <w:i/>
        </w:rPr>
        <w:t xml:space="preserve">Antimicrobial Resistance Threats — 2024 Update</w:t>
      </w:r>
      <w:r>
        <w:t xml:space="preserve">. Atlanta: U.S. Department of Health and Human Services, CDC; 2024.</w:t>
      </w:r>
      <w:r>
        <w:t xml:space="preserve"> </w:t>
      </w:r>
      <w:hyperlink r:id="rId100">
        <w:r>
          <w:rPr>
            <w:rStyle w:val="Hyperlink"/>
          </w:rPr>
          <w:t xml:space="preserve">https://www.cdc.gov/antimicrobial-resistance/data-research/threats/index.html</w:t>
        </w:r>
      </w:hyperlink>
    </w:p>
    <w:p>
      <w:pPr>
        <w:numPr>
          <w:ilvl w:val="0"/>
          <w:numId w:val="1009"/>
        </w:numPr>
        <w:pStyle w:val="Compact"/>
      </w:pPr>
      <w:r>
        <w:t xml:space="preserve">Murray CJL, Ikuta KS, Sharara F, Swetschinski L, Robles Aguilar G, Gray A, et al. Global burden of bacterial antimicrobial resistance in 2019: a systematic analysis.</w:t>
      </w:r>
      <w:r>
        <w:t xml:space="preserve"> </w:t>
      </w:r>
      <w:r>
        <w:rPr>
          <w:iCs/>
          <w:i/>
        </w:rPr>
        <w:t xml:space="preserve">Lancet</w:t>
      </w:r>
      <w:r>
        <w:t xml:space="preserve">. 2022;399(10325):629–55. doi:10.1016/S0140-6736(21)02724-0</w:t>
      </w:r>
    </w:p>
    <w:p>
      <w:pPr>
        <w:numPr>
          <w:ilvl w:val="0"/>
          <w:numId w:val="1009"/>
        </w:numPr>
        <w:pStyle w:val="Compact"/>
      </w:pPr>
      <w:r>
        <w:t xml:space="preserve">Rice LB. Federal funding for the study of antimicrobial resistance in nosocomial pathogens: no ESKAPE.</w:t>
      </w:r>
      <w:r>
        <w:t xml:space="preserve"> </w:t>
      </w:r>
      <w:r>
        <w:rPr>
          <w:iCs/>
          <w:i/>
        </w:rPr>
        <w:t xml:space="preserve">J Infect Dis</w:t>
      </w:r>
      <w:r>
        <w:t xml:space="preserve">. 2008;197(8):1079–81. doi:10.1086/533452</w:t>
      </w:r>
    </w:p>
    <w:p>
      <w:pPr>
        <w:numPr>
          <w:ilvl w:val="0"/>
          <w:numId w:val="1009"/>
        </w:numPr>
        <w:pStyle w:val="Compact"/>
      </w:pPr>
      <w:r>
        <w:t xml:space="preserve">Page MJ, McKenzie JE, Bossuyt PM, Boutron I, Hoffmann TC, Mulrow CD, et al. The PRISMA 2020 statement: an updated guideline for reporting systematic reviews.</w:t>
      </w:r>
      <w:r>
        <w:t xml:space="preserve"> </w:t>
      </w:r>
      <w:r>
        <w:rPr>
          <w:iCs/>
          <w:i/>
        </w:rPr>
        <w:t xml:space="preserve">BMJ</w:t>
      </w:r>
      <w:r>
        <w:t xml:space="preserve">. 2021;372:n71. doi:10.1136/bmj.n71</w:t>
      </w:r>
    </w:p>
    <w:p>
      <w:pPr>
        <w:numPr>
          <w:ilvl w:val="0"/>
          <w:numId w:val="1009"/>
        </w:numPr>
        <w:pStyle w:val="Compact"/>
      </w:pPr>
      <w:r>
        <w:t xml:space="preserve">Rethlefsen ML, Kirtley S, Waffenschmidt S, Ayala AP, Moher D, Page MJ, et al. PRISMA-S: an extension to the PRISMA Statement for Reporting Literature Searches in Systematic Reviews.</w:t>
      </w:r>
      <w:r>
        <w:t xml:space="preserve"> </w:t>
      </w:r>
      <w:r>
        <w:rPr>
          <w:iCs/>
          <w:i/>
        </w:rPr>
        <w:t xml:space="preserve">Syst Rev</w:t>
      </w:r>
      <w:r>
        <w:t xml:space="preserve">. 2021;10:39. doi:10.1186/s13643-020-01542-z</w:t>
      </w:r>
    </w:p>
    <w:p>
      <w:pPr>
        <w:numPr>
          <w:ilvl w:val="0"/>
          <w:numId w:val="1009"/>
        </w:numPr>
        <w:pStyle w:val="Compact"/>
      </w:pPr>
      <w:r>
        <w:t xml:space="preserve">Campbell M, McKenzie JE, Sowden A, Katikireddi SV, Brennan SE, Ellis S, et al. Synthesis without meta-analysis (SWiM) in systematic reviews: reporting guideline.</w:t>
      </w:r>
      <w:r>
        <w:t xml:space="preserve"> </w:t>
      </w:r>
      <w:r>
        <w:rPr>
          <w:iCs/>
          <w:i/>
        </w:rPr>
        <w:t xml:space="preserve">BMJ</w:t>
      </w:r>
      <w:r>
        <w:t xml:space="preserve">. 2020;368:l6890. doi:10.1136/bmj.l6890</w:t>
      </w:r>
    </w:p>
    <w:p>
      <w:pPr>
        <w:numPr>
          <w:ilvl w:val="0"/>
          <w:numId w:val="1009"/>
        </w:numPr>
        <w:pStyle w:val="Compact"/>
      </w:pPr>
      <w:r>
        <w:t xml:space="preserve">Krithikadatta J, Gopikrishna V, Datta M. CRIS Guidelines (Checklist for Reporting In-vitro Studies): A concept note.</w:t>
      </w:r>
      <w:r>
        <w:t xml:space="preserve"> </w:t>
      </w:r>
      <w:r>
        <w:rPr>
          <w:iCs/>
          <w:i/>
        </w:rPr>
        <w:t xml:space="preserve">J Conserv Dent</w:t>
      </w:r>
      <w:r>
        <w:t xml:space="preserve">. 2014;17(4):301–4. doi:10.4103/0972-0707.136338</w:t>
      </w:r>
    </w:p>
    <w:p>
      <w:pPr>
        <w:numPr>
          <w:ilvl w:val="0"/>
          <w:numId w:val="1009"/>
        </w:numPr>
        <w:pStyle w:val="Compact"/>
      </w:pPr>
      <w:r>
        <w:t xml:space="preserve">Hooijmans CR, Rovers MM, de Vries RB, Leenaars M, Ritskes-Hoitinga M, Langendam MW. SYRCLE's risk of bias tool for animal studies.</w:t>
      </w:r>
      <w:r>
        <w:t xml:space="preserve"> </w:t>
      </w:r>
      <w:r>
        <w:rPr>
          <w:iCs/>
          <w:i/>
        </w:rPr>
        <w:t xml:space="preserve">BMC Med Res Methodol</w:t>
      </w:r>
      <w:r>
        <w:t xml:space="preserve">. 2014;14:43. doi:10.1186/1471-2288-14-43</w:t>
      </w:r>
    </w:p>
    <w:p>
      <w:pPr>
        <w:numPr>
          <w:ilvl w:val="0"/>
          <w:numId w:val="1009"/>
        </w:numPr>
        <w:pStyle w:val="Compact"/>
      </w:pPr>
      <w:r>
        <w:t xml:space="preserve">Percie du Sert N, Hurst V, Ahluwalia A, Alam S, Avey MT, Baker M, et al. The ARRIVE guidelines 2.0: Updated guidelines for reporting animal research.</w:t>
      </w:r>
      <w:r>
        <w:t xml:space="preserve"> </w:t>
      </w:r>
      <w:r>
        <w:rPr>
          <w:iCs/>
          <w:i/>
        </w:rPr>
        <w:t xml:space="preserve">PLoS Biol</w:t>
      </w:r>
      <w:r>
        <w:t xml:space="preserve">. 2020;18(7):e3000410. doi:10.1371/journal.pbio.3000411</w:t>
      </w:r>
    </w:p>
    <w:p>
      <w:pPr>
        <w:numPr>
          <w:ilvl w:val="0"/>
          <w:numId w:val="1009"/>
        </w:numPr>
        <w:pStyle w:val="Compact"/>
      </w:pPr>
      <w:r>
        <w:t xml:space="preserve">Joanna Briggs Institute.</w:t>
      </w:r>
      <w:r>
        <w:t xml:space="preserve"> </w:t>
      </w:r>
      <w:r>
        <w:rPr>
          <w:iCs/>
          <w:i/>
        </w:rPr>
        <w:t xml:space="preserve">JBI Manual for Evidence Synthesis</w:t>
      </w:r>
      <w:r>
        <w:t xml:space="preserve">. Aromataris E, Munn Z (eds). 2020. doi:10.46658/JBIMES-20-01</w:t>
      </w:r>
    </w:p>
    <w:p>
      <w:pPr>
        <w:numPr>
          <w:ilvl w:val="0"/>
          <w:numId w:val="1009"/>
        </w:numPr>
        <w:pStyle w:val="Compact"/>
      </w:pPr>
      <w:r>
        <w:t xml:space="preserve">Wells GA, Shea B, O'Connell D, Peterson J, Welch V, Losos M, Tugwell P. The Newcastle-Ottawa Scale (NOS) for assessing the quality of nonrandomised studies in meta-analyses. Ottawa Hospital Research Institute; 2014.</w:t>
      </w:r>
      <w:r>
        <w:t xml:space="preserve"> </w:t>
      </w:r>
      <w:hyperlink r:id="rId101">
        <w:r>
          <w:rPr>
            <w:rStyle w:val="Hyperlink"/>
          </w:rPr>
          <w:t xml:space="preserve">http://www.ohri.ca/programs/clinical_epidemiology/oxford.asp</w:t>
        </w:r>
      </w:hyperlink>
    </w:p>
    <w:p>
      <w:pPr>
        <w:numPr>
          <w:ilvl w:val="0"/>
          <w:numId w:val="1009"/>
        </w:numPr>
        <w:pStyle w:val="Compact"/>
      </w:pPr>
      <w:r>
        <w:t xml:space="preserve">Sterne JAC, Savović J, Page MJ, Elbers RG, Blencowe NS, Boutron I, et al. RoB 2: a revised tool for assessing risk of bias in randomised trials.</w:t>
      </w:r>
      <w:r>
        <w:t xml:space="preserve"> </w:t>
      </w:r>
      <w:r>
        <w:rPr>
          <w:iCs/>
          <w:i/>
        </w:rPr>
        <w:t xml:space="preserve">BMJ</w:t>
      </w:r>
      <w:r>
        <w:t xml:space="preserve">. 2019;366:l4898. doi:10.1136/bmj.l4898</w:t>
      </w:r>
    </w:p>
    <w:p>
      <w:pPr>
        <w:numPr>
          <w:ilvl w:val="0"/>
          <w:numId w:val="1009"/>
        </w:numPr>
        <w:pStyle w:val="Compact"/>
      </w:pPr>
      <w:r>
        <w:t xml:space="preserve">Moons KGM, de Groot JAH, Bouwmeester W, Vergouwe Y, Mallett S, Altman DG, et al. Critical appraisal and data extraction for systematic reviews of prediction modelling studies: the CHARMS checklist.</w:t>
      </w:r>
      <w:r>
        <w:t xml:space="preserve"> </w:t>
      </w:r>
      <w:r>
        <w:rPr>
          <w:iCs/>
          <w:i/>
        </w:rPr>
        <w:t xml:space="preserve">PLoS Med</w:t>
      </w:r>
      <w:r>
        <w:t xml:space="preserve">. 2014;11(10):e1001744. doi:10.1371/journal.pmed.1001744</w:t>
      </w:r>
    </w:p>
    <w:p>
      <w:pPr>
        <w:numPr>
          <w:ilvl w:val="0"/>
          <w:numId w:val="1009"/>
        </w:numPr>
        <w:pStyle w:val="Compact"/>
      </w:pPr>
      <w:r>
        <w:t xml:space="preserve">Bustin SA, Benes V, Garson JA, Hellemans J, Huggett J, Kubista M, et al. The MIQE guidelines: minimum information for publication of quantitative real-time PCR experiments.</w:t>
      </w:r>
      <w:r>
        <w:t xml:space="preserve"> </w:t>
      </w:r>
      <w:r>
        <w:rPr>
          <w:iCs/>
          <w:i/>
        </w:rPr>
        <w:t xml:space="preserve">Clin Chem</w:t>
      </w:r>
      <w:r>
        <w:t xml:space="preserve">. 2009;55(4):611–22. doi:10.1373/clinchem.2008.112797</w:t>
      </w:r>
    </w:p>
    <w:p>
      <w:pPr>
        <w:numPr>
          <w:ilvl w:val="0"/>
          <w:numId w:val="1009"/>
        </w:numPr>
        <w:pStyle w:val="Compact"/>
      </w:pPr>
      <w:r>
        <w:t xml:space="preserve">Egger M, Davey Smith G, Schneider M, Minder C. Bias in meta-analysis detected by a simple, graphical test.</w:t>
      </w:r>
      <w:r>
        <w:t xml:space="preserve"> </w:t>
      </w:r>
      <w:r>
        <w:rPr>
          <w:iCs/>
          <w:i/>
        </w:rPr>
        <w:t xml:space="preserve">BMJ</w:t>
      </w:r>
      <w:r>
        <w:t xml:space="preserve">. 1997;315(7109):629–34. doi:10.1136/bmj.315.7109.629</w:t>
      </w:r>
    </w:p>
    <w:p>
      <w:pPr>
        <w:numPr>
          <w:ilvl w:val="0"/>
          <w:numId w:val="1009"/>
        </w:numPr>
        <w:pStyle w:val="Compact"/>
      </w:pPr>
      <w:r>
        <w:t xml:space="preserve">Guyatt GH, Oxman AD, Vist GE, Kunz R, Falck-Ytter Y, Alonso-Coello P, Schünemann HJ; GRADE Working Group. GRADE: an emerging consensus on rating quality of evidence and strength of recommendations.</w:t>
      </w:r>
      <w:r>
        <w:t xml:space="preserve"> </w:t>
      </w:r>
      <w:r>
        <w:rPr>
          <w:iCs/>
          <w:i/>
        </w:rPr>
        <w:t xml:space="preserve">BMJ</w:t>
      </w:r>
      <w:r>
        <w:t xml:space="preserve">. 2008;336(7650):924–6. doi:10.1136/bmj.39489.470347.AD</w:t>
      </w:r>
    </w:p>
    <w:p>
      <w:r>
        <w:pict>
          <v:rect style="width:0;height:1.5pt" o:hralign="center" o:hrstd="t" o:hr="t"/>
        </w:pict>
      </w:r>
    </w:p>
    <w:bookmarkEnd w:id="102"/>
    <w:bookmarkStart w:id="103" w:name="supplementary-material"/>
    <w:p>
      <w:pPr>
        <w:pStyle w:val="Heading2"/>
      </w:pPr>
      <w:r>
        <w:t xml:space="preserve">Supplementary Material</w:t>
      </w:r>
    </w:p>
    <w:p>
      <w:pPr>
        <w:numPr>
          <w:ilvl w:val="0"/>
          <w:numId w:val="1010"/>
        </w:numPr>
        <w:pStyle w:val="Compact"/>
      </w:pPr>
      <w:r>
        <w:rPr>
          <w:bCs/>
          <w:b/>
        </w:rPr>
        <w:t xml:space="preserve">S1.</w:t>
      </w:r>
      <w:r>
        <w:t xml:space="preserve"> </w:t>
      </w:r>
      <w:r>
        <w:t xml:space="preserve">PRISMA 2020 checklist —</w:t>
      </w:r>
      <w:r>
        <w:t xml:space="preserve"> </w:t>
      </w:r>
      <w:r>
        <w:rPr>
          <w:rStyle w:val="VerbatimChar"/>
        </w:rPr>
        <w:t xml:space="preserve">supplementary/S1_prisma2020_checklist.md</w:t>
      </w:r>
    </w:p>
    <w:p>
      <w:pPr>
        <w:numPr>
          <w:ilvl w:val="0"/>
          <w:numId w:val="1010"/>
        </w:numPr>
        <w:pStyle w:val="Compact"/>
      </w:pPr>
      <w:r>
        <w:rPr>
          <w:bCs/>
          <w:b/>
        </w:rPr>
        <w:t xml:space="preserve">S2.</w:t>
      </w:r>
      <w:r>
        <w:t xml:space="preserve"> </w:t>
      </w:r>
      <w:r>
        <w:t xml:space="preserve">Full search strategies for all databases —</w:t>
      </w:r>
      <w:r>
        <w:t xml:space="preserve"> </w:t>
      </w:r>
      <w:r>
        <w:rPr>
          <w:rStyle w:val="VerbatimChar"/>
        </w:rPr>
        <w:t xml:space="preserve">02-search-strategies.md</w:t>
      </w:r>
    </w:p>
    <w:p>
      <w:pPr>
        <w:numPr>
          <w:ilvl w:val="0"/>
          <w:numId w:val="1010"/>
        </w:numPr>
        <w:pStyle w:val="Compact"/>
      </w:pPr>
      <w:r>
        <w:rPr>
          <w:bCs/>
          <w:b/>
        </w:rPr>
        <w:t xml:space="preserve">S3.</w:t>
      </w:r>
      <w:r>
        <w:t xml:space="preserve"> </w:t>
      </w:r>
      <w:r>
        <w:t xml:space="preserve">Multi-database merge log and de-duplication report —</w:t>
      </w:r>
      <w:r>
        <w:t xml:space="preserve"> </w:t>
      </w:r>
      <w:r>
        <w:rPr>
          <w:rStyle w:val="VerbatimChar"/>
        </w:rPr>
        <w:t xml:space="preserve">literature/merged_unique.csv</w:t>
      </w:r>
      <w:r>
        <w:t xml:space="preserve">,</w:t>
      </w:r>
      <w:r>
        <w:t xml:space="preserve"> </w:t>
      </w:r>
      <w:r>
        <w:rPr>
          <w:rStyle w:val="VerbatimChar"/>
        </w:rPr>
        <w:t xml:space="preserve">literature/prisma_flow_data.json</w:t>
      </w:r>
    </w:p>
    <w:p>
      <w:pPr>
        <w:numPr>
          <w:ilvl w:val="0"/>
          <w:numId w:val="1010"/>
        </w:numPr>
        <w:pStyle w:val="Compact"/>
      </w:pPr>
      <w:r>
        <w:rPr>
          <w:bCs/>
          <w:b/>
        </w:rPr>
        <w:t xml:space="preserve">S4.</w:t>
      </w:r>
      <w:r>
        <w:t xml:space="preserve"> </w:t>
      </w:r>
      <w:r>
        <w:t xml:space="preserve">Data extraction form —</w:t>
      </w:r>
      <w:r>
        <w:t xml:space="preserve"> </w:t>
      </w:r>
      <w:r>
        <w:rPr>
          <w:rStyle w:val="VerbatimChar"/>
        </w:rPr>
        <w:t xml:space="preserve">04-data-extraction-form.md</w:t>
      </w:r>
    </w:p>
    <w:p>
      <w:pPr>
        <w:numPr>
          <w:ilvl w:val="0"/>
          <w:numId w:val="1010"/>
        </w:numPr>
        <w:pStyle w:val="Compact"/>
      </w:pPr>
      <w:r>
        <w:rPr>
          <w:bCs/>
          <w:b/>
        </w:rPr>
        <w:t xml:space="preserve">S5.</w:t>
      </w:r>
      <w:r>
        <w:t xml:space="preserve"> </w:t>
      </w:r>
      <w:r>
        <w:t xml:space="preserve">Categorised corpus —</w:t>
      </w:r>
      <w:r>
        <w:t xml:space="preserve"> </w:t>
      </w:r>
      <w:r>
        <w:rPr>
          <w:rStyle w:val="VerbatimChar"/>
        </w:rPr>
        <w:t xml:space="preserve">literature/categorized.csv</w:t>
      </w:r>
    </w:p>
    <w:p>
      <w:pPr>
        <w:numPr>
          <w:ilvl w:val="0"/>
          <w:numId w:val="1010"/>
        </w:numPr>
        <w:pStyle w:val="Compact"/>
      </w:pPr>
      <w:r>
        <w:rPr>
          <w:bCs/>
          <w:b/>
        </w:rPr>
        <w:t xml:space="preserve">S6.</w:t>
      </w:r>
      <w:r>
        <w:t xml:space="preserve"> </w:t>
      </w:r>
      <w:r>
        <w:t xml:space="preserve">Evidence claims database —</w:t>
      </w:r>
      <w:r>
        <w:t xml:space="preserve"> </w:t>
      </w:r>
      <w:r>
        <w:rPr>
          <w:rStyle w:val="VerbatimChar"/>
        </w:rPr>
        <w:t xml:space="preserve">literature/evidence_claims.json</w:t>
      </w:r>
    </w:p>
    <w:p>
      <w:pPr>
        <w:numPr>
          <w:ilvl w:val="0"/>
          <w:numId w:val="1010"/>
        </w:numPr>
        <w:pStyle w:val="Compact"/>
      </w:pPr>
      <w:r>
        <w:rPr>
          <w:bCs/>
          <w:b/>
        </w:rPr>
        <w:t xml:space="preserve">S7.</w:t>
      </w:r>
      <w:r>
        <w:t xml:space="preserve"> </w:t>
      </w:r>
      <w:r>
        <w:t xml:space="preserve">Full bibliography (340 records) —</w:t>
      </w:r>
      <w:r>
        <w:t xml:space="preserve"> </w:t>
      </w:r>
      <w:r>
        <w:rPr>
          <w:rStyle w:val="VerbatimChar"/>
        </w:rPr>
        <w:t xml:space="preserve">bibliography.md</w:t>
      </w:r>
    </w:p>
    <w:p>
      <w:pPr>
        <w:numPr>
          <w:ilvl w:val="0"/>
          <w:numId w:val="1010"/>
        </w:numPr>
        <w:pStyle w:val="Compact"/>
      </w:pPr>
      <w:r>
        <w:rPr>
          <w:bCs/>
          <w:b/>
        </w:rPr>
        <w:t xml:space="preserve">S8.</w:t>
      </w:r>
      <w:r>
        <w:t xml:space="preserve"> </w:t>
      </w:r>
      <w:r>
        <w:t xml:space="preserve">Citation shortlist (top 60 by importance) —</w:t>
      </w:r>
      <w:r>
        <w:t xml:space="preserve"> </w:t>
      </w:r>
      <w:r>
        <w:rPr>
          <w:rStyle w:val="VerbatimChar"/>
        </w:rPr>
        <w:t xml:space="preserve">literature/citation_shortlist.csv</w:t>
      </w:r>
    </w:p>
    <w:p>
      <w:r>
        <w:pict>
          <v:rect style="width:0;height:1.5pt" o:hralign="center" o:hrstd="t" o:hr="t"/>
        </w:pict>
      </w:r>
    </w:p>
    <w:p>
      <w:pPr>
        <w:pStyle w:val="FirstParagraph"/>
      </w:pPr>
      <w:r>
        <w:rPr>
          <w:iCs/>
          <w:i/>
        </w:rPr>
        <w:t xml:space="preserve">Manuscript word count: 23,126 | Cited references: 93</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http://www.ohri.ca/programs/clinical_epidemiology/oxford.asp" TargetMode="External" /><Relationship Type="http://schemas.openxmlformats.org/officeDocument/2006/relationships/hyperlink" Id="rId100" Target="https://www.cdc.gov/antimicrobial-resistance/data-research/threats/index.html" TargetMode="External" /><Relationship Type="http://schemas.openxmlformats.org/officeDocument/2006/relationships/hyperlink" Id="rId99" Target="https://www.cdc.gov/drugresistance/biggest-threats.html" TargetMode="External" /><Relationship Type="http://schemas.openxmlformats.org/officeDocument/2006/relationships/hyperlink" Id="rId98" Target="https://www.who.int/publications/i/item/9789240093461" TargetMode="External" /></Relationships>
</file>

<file path=word/_rels/footnotes.xml.rels><?xml version="1.0" encoding="UTF-8"?><Relationships xmlns="http://schemas.openxmlformats.org/package/2006/relationships"><Relationship Type="http://schemas.openxmlformats.org/officeDocument/2006/relationships/hyperlink" Id="rId101" Target="http://www.ohri.ca/programs/clinical_epidemiology/oxford.asp" TargetMode="External" /><Relationship Type="http://schemas.openxmlformats.org/officeDocument/2006/relationships/hyperlink" Id="rId100" Target="https://www.cdc.gov/antimicrobial-resistance/data-research/threats/index.html" TargetMode="External" /><Relationship Type="http://schemas.openxmlformats.org/officeDocument/2006/relationships/hyperlink" Id="rId99" Target="https://www.cdc.gov/drugresistance/biggest-threats.html" TargetMode="External" /><Relationship Type="http://schemas.openxmlformats.org/officeDocument/2006/relationships/hyperlink" Id="rId98" Target="https://www.who.int/publications/i/item/97892400934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Quorum Sensing in Acinetobacter baumannii: A Systematic Review (2003-2025)</dc:title>
  <dc:creator>To be completed at submission</dc:creator>
  <cp:keywords/>
  <dcterms:created xsi:type="dcterms:W3CDTF">2026-05-17T10:00:17Z</dcterms:created>
  <dcterms:modified xsi:type="dcterms:W3CDTF">2026-05-17T10:00:17Z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