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 and Figures (1-3, F1-F2)</w:t>
      </w:r>
    </w:p>
    <w:bookmarkStart w:id="20" w:name="Xd3b3fc186f1e2460c4a815279c9416c14bf5f8e"/>
    <w:p>
      <w:pPr>
        <w:pStyle w:val="Heading1"/>
      </w:pPr>
      <w:r>
        <w:t xml:space="preserve">Table 1 — Characteristics of Included Studies (n=340)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2003–2010 (foundational era)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2011–2018 (expansion)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2019–2023 (clinical-translational)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2024–2025 (recent)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vitro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Omics (transcriptomics/proteomics/genomics)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Animal/in vivo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 silico/computational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Review/synthesis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Methodology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Clinical (case/cohort/surveillance)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A. baumannii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Multi-species/ESKAPE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Biofilm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Antibiotic resistance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Virulence 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abaI/abaR/abaM 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AHL 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Gene regulation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Quorum quenching (QQ)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QSI discovery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Phage therapy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Polymicrobial interactions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10.6%</w:t>
            </w:r>
          </w:p>
        </w:tc>
      </w:tr>
    </w:tbl>
    <w:p>
      <w:pPr>
        <w:pStyle w:val="BodyText"/>
      </w:pPr>
      <w:r>
        <w:rPr>
          <w:iCs/>
          <w:i/>
        </w:rPr>
        <w:t xml:space="preserve">Multi-label classification — totals may exceed 100%.</w:t>
      </w:r>
    </w:p>
    <w:bookmarkEnd w:id="20"/>
    <w:bookmarkStart w:id="21" w:name="table-2--qsiqq-intervention-classes"/>
    <w:p>
      <w:pPr>
        <w:pStyle w:val="Heading1"/>
      </w:pPr>
      <w:r>
        <w:t xml:space="preserve">Table 2 — QSI/QQ Intervention Classes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agents (selected examples from corpus)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vB-AbaM-fThrA, ΦZC2/ΦZC3, AB4P2, phage cocktails [Beasley 2025, Su 2025, Vera-Jauregui 2025]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Carnosol [Cui 2025], berberine [Duda-Madej 2025], carvacrol/thymol, curcumin, essential oils (</w:t>
            </w:r>
            <w:r>
              <w:rPr>
                <w:iCs/>
                <w:i/>
              </w:rPr>
              <w:t xml:space="preserve">Salvia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Mentha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Paederia</w:t>
            </w:r>
            <w:r>
              <w:t xml:space="preserve">), garlic-derived compounds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Defensin analogues, designed antimicrobial peptides targeting OMV biogenesis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Enzyme Qq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AHL lactonases (AiiA family), AHL acylases, immobilised lactonase coatings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Nanoparticle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AgNP-loaded liposomes, niosomes (staphyloxanthin-encapsulated), ZnO-NPs, polymer nanocarriers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Quinazoline derivatives, halogenated furanones, nitroimidazole repurposed analogs, BfmR/AbaR-targeted small molecules [Bell I 2025]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Repurposed Drug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Nitroimidazoles [Khafagy 2025], indole derivatives [Li 2025], statins, NSAIDs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Antibody Vaccine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Monoclonal anti-AbaI/AbaR antibodies, OMV-based vaccine candidates</w:t>
            </w:r>
          </w:p>
        </w:tc>
      </w:tr>
    </w:tbl>
    <w:bookmarkEnd w:id="21"/>
    <w:bookmarkStart w:id="22" w:name="X9b8cf0a15d9cf521f015949246d431900f121a9"/>
    <w:p>
      <w:pPr>
        <w:pStyle w:val="Heading1"/>
      </w:pPr>
      <w:r>
        <w:t xml:space="preserve">Table 3 — A. baumannii Quorum-Sensing Molecular Network: Key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Gene/Protein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Mentions in priority corpus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Druggability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LuxI-type AHL synthase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Synthesises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-(3-hydroxydodecanoyl)-L-homoserine lactone (3-OH-C12-HSL)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knock-out impairs biofilm; small-molecule inhibitors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LuxR-type response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AHL-bound transcription factor regulating biofilm, motility, virulence 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Docking studies; natural products and repurposed drugs targeting DNA-binding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LuxR-type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Modulates AbaR activity; potential cross-talk node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Limited; emerging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regulator (TCS)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Two-component system; coordinates biofilm formation, capsule, resistance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natural-product and structure-based inhibitor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kinase (TCS)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Cognate kinase of BfmR — phosphorylation cascade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Druggability under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AdeS sensor kinase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Cognate kinase of 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RND efflux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multidrug efflux — exports tigecycline, aminoglycosides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Down-regulated by some QSIs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adefgh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RND efflux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of carbapenem, tigecycline resistance; QS-regulated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indirectly via AbaR pathway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adeijk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RND efflux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Constitutive efflux; broad-spectrum substrate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direct QSI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Csu chaperone-usher pilus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Pilus assembly subunit — adhesion and biofilm initiation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Indirectly modulated by QS interventions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Csu pilus subunit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pilin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Csu chaperone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Pilus assembly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Csu usher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Pilus assembly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Csu tip adhesin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Adhesin tip — primary attachment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 adhesion-blocking antibodies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membrane protein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Virulence factor; pro-apoptotic, adhesion, biofilm matrix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antigen candidate; QSI co-targeting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Biofilm-associated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protein critical for biofilm maturation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expression upon QSI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pgaabcd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Poly-β-1,6-GlcNAc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PNAG biofilm matrix polysaccharide biosynthesis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QSI exposure suppresses pgaABCD transcription</w:t>
            </w:r>
          </w:p>
        </w:tc>
      </w:tr>
    </w:tbl>
    <w:bookmarkEnd w:id="22"/>
    <w:bookmarkStart w:id="25" w:name="figure-1--prisma-2020-flow-diagram"/>
    <w:p>
      <w:pPr>
        <w:pStyle w:val="Heading1"/>
      </w:pPr>
      <w:r>
        <w:t xml:space="preserve">Figure 1 — PRISMA 2020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IDENTIFICATION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Records identified from databases:                                          │</w:t>
      </w:r>
      <w:r>
        <w:br/>
      </w:r>
      <w:r>
        <w:rPr>
          <w:rStyle w:val="VerbatimChar"/>
        </w:rPr>
        <w:t xml:space="preserve">│  • PubMed (MEDLINE)        n =  340                                          │</w:t>
      </w:r>
      <w:r>
        <w:br/>
      </w:r>
      <w:r>
        <w:rPr>
          <w:rStyle w:val="VerbatimChar"/>
        </w:rPr>
        <w:t xml:space="preserve">│  • OpenAlex (API)          n =  351                                          │</w:t>
      </w:r>
      <w:r>
        <w:br/>
      </w:r>
      <w:r>
        <w:rPr>
          <w:rStyle w:val="VerbatimChar"/>
        </w:rPr>
        <w:t xml:space="preserve">│  • Crossref (API)          n = 3,060                                         │</w:t>
      </w:r>
      <w:r>
        <w:br/>
      </w:r>
      <w:r>
        <w:rPr>
          <w:rStyle w:val="VerbatimChar"/>
        </w:rPr>
        <w:t xml:space="preserve">│  • Scopus                  n = pending (EKUAL export — v2)                   │</w:t>
      </w:r>
      <w:r>
        <w:br/>
      </w:r>
      <w:r>
        <w:rPr>
          <w:rStyle w:val="VerbatimChar"/>
        </w:rPr>
        <w:t xml:space="preserve">│  • Web of Science          n = pending (v2)                                  │</w:t>
      </w:r>
      <w:r>
        <w:br/>
      </w:r>
      <w:r>
        <w:rPr>
          <w:rStyle w:val="VerbatimChar"/>
        </w:rPr>
        <w:t xml:space="preserve">│  • Embase                  n = pending (v2)                                  │</w:t>
      </w:r>
      <w:r>
        <w:br/>
      </w:r>
      <w:r>
        <w:rPr>
          <w:rStyle w:val="VerbatimChar"/>
        </w:rPr>
        <w:t xml:space="preserve">│  • Cochrane Library        n = pending (v2)                                  │</w:t>
      </w:r>
      <w:r>
        <w:br/>
      </w:r>
      <w:r>
        <w:rPr>
          <w:rStyle w:val="VerbatimChar"/>
        </w:rPr>
        <w:t xml:space="preserve">│  • Hand-search / snowball  n = pending (v2)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Records before deduplication:   n = 3,751                                   │</w:t>
      </w:r>
      <w:r>
        <w:br/>
      </w:r>
      <w:r>
        <w:rPr>
          <w:rStyle w:val="VerbatimChar"/>
        </w:rPr>
        <w:t xml:space="preserve">│  Duplicates removed:             n =   438  (DOI/PMID/title-year match)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SCREENING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Records after deduplication:    n = 3,313                                   │</w:t>
      </w:r>
      <w:r>
        <w:br/>
      </w:r>
      <w:r>
        <w:rPr>
          <w:rStyle w:val="VerbatimChar"/>
        </w:rPr>
        <w:t xml:space="preserve">│  Records screened (title/abstract):                                          │</w:t>
      </w:r>
      <w:r>
        <w:br/>
      </w:r>
      <w:r>
        <w:rPr>
          <w:rStyle w:val="VerbatimChar"/>
        </w:rPr>
        <w:t xml:space="preserve">│   • PubMed-anchored core (v1):   n =   338  (fully characterised)            │</w:t>
      </w:r>
      <w:r>
        <w:br/>
      </w:r>
      <w:r>
        <w:rPr>
          <w:rStyle w:val="VerbatimChar"/>
        </w:rPr>
        <w:t xml:space="preserve">│   • Crossref/OpenAlex additions: n = 2,975  (awaiting v2 dual screening)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Records excluded at title/abstract (v1 automated):                          │</w:t>
      </w:r>
      <w:r>
        <w:br/>
      </w:r>
      <w:r>
        <w:rPr>
          <w:rStyle w:val="VerbatimChar"/>
        </w:rPr>
        <w:t xml:space="preserve">│   • Non-A. baumannii primary focus (Crossref noise)                          │</w:t>
      </w:r>
      <w:r>
        <w:br/>
      </w:r>
      <w:r>
        <w:rPr>
          <w:rStyle w:val="VerbatimChar"/>
        </w:rPr>
        <w:t xml:space="preserve">│   • Conference abstracts only                                                │</w:t>
      </w:r>
      <w:r>
        <w:br/>
      </w:r>
      <w:r>
        <w:rPr>
          <w:rStyle w:val="VerbatimChar"/>
        </w:rPr>
        <w:t xml:space="preserve">│   • Off-topic word-match hits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ELIGIBILITY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Full-text articles assessed (v1):    n =  228                               │</w:t>
      </w:r>
      <w:r>
        <w:br/>
      </w:r>
      <w:r>
        <w:rPr>
          <w:rStyle w:val="VerbatimChar"/>
        </w:rPr>
        <w:t xml:space="preserve">│    • Of these from PubMed corpus      n =  218                               │</w:t>
      </w:r>
      <w:r>
        <w:br/>
      </w:r>
      <w:r>
        <w:rPr>
          <w:rStyle w:val="VerbatimChar"/>
        </w:rPr>
        <w:t xml:space="preserve">│    • PDF/manual download              n =   10                               │</w:t>
      </w:r>
      <w:r>
        <w:br/>
      </w:r>
      <w:r>
        <w:rPr>
          <w:rStyle w:val="VerbatimChar"/>
        </w:rPr>
        <w:t xml:space="preserve">│  Abstract-only records (v1):          n =  112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Records excluded with reasons:       n = pending (v2 dual reviewer)         │</w:t>
      </w:r>
      <w:r>
        <w:br/>
      </w:r>
      <w:r>
        <w:rPr>
          <w:rStyle w:val="VerbatimChar"/>
        </w:rPr>
        <w:t xml:space="preserve">│   • Not A. baumannii primary subject                                         │</w:t>
      </w:r>
      <w:r>
        <w:br/>
      </w:r>
      <w:r>
        <w:rPr>
          <w:rStyle w:val="VerbatimChar"/>
        </w:rPr>
        <w:t xml:space="preserve">│   • No QS-related outcome                                                    │</w:t>
      </w:r>
      <w:r>
        <w:br/>
      </w:r>
      <w:r>
        <w:rPr>
          <w:rStyle w:val="VerbatimChar"/>
        </w:rPr>
        <w:t xml:space="preserve">│   • Retraction / erratum / preprint-published pair                           │</w:t>
      </w:r>
      <w:r>
        <w:br/>
      </w:r>
      <w:r>
        <w:rPr>
          <w:rStyle w:val="VerbatimChar"/>
        </w:rPr>
        <w:t xml:space="preserve">│   • Non-English (post-translation review)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INCLUDED (v1 first-pass synthesis)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Studies in qualitative synthesis:    n =  338  (PubMed-anchored corpus)     │</w:t>
      </w:r>
      <w:r>
        <w:br/>
      </w:r>
      <w:r>
        <w:rPr>
          <w:rStyle w:val="VerbatimChar"/>
        </w:rPr>
        <w:t xml:space="preserve">│  Studies in quantitative synthesis:   n = pending (meta-analysis — v2)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Cross-database corroboration:                                               │</w:t>
      </w:r>
      <w:r>
        <w:br/>
      </w:r>
      <w:r>
        <w:rPr>
          <w:rStyle w:val="VerbatimChar"/>
        </w:rPr>
        <w:t xml:space="preserve">│    • Records in &gt;=2 sources              n =  291  (87% of analytic set)     │</w:t>
      </w:r>
      <w:r>
        <w:br/>
      </w:r>
      <w:r>
        <w:rPr>
          <w:rStyle w:val="VerbatimChar"/>
        </w:rPr>
        <w:t xml:space="preserve">│    • Records in all 3 sources (PM+OA+CR) n =  101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3" w:name="cross-database-coverage-validation"/>
    <w:p>
      <w:pPr>
        <w:pStyle w:val="Heading2"/>
      </w:pPr>
      <w:r>
        <w:t xml:space="preserve">Cross-Database Coverage Validation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combination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3,313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Crossref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Awaits screening; Crossref OR-joins query tokens producing many off-topic hits; v2 dual-reviewer title/abstract screening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OpenAlex + PubMed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corroboration of PubMed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Crossref + OpenAlex + PubMed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Triple-corroborated — high-confidence inclusions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MEDLINE-exclusive (typically clinical-microbiology journals)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OpenAlex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Open-scholarship sources beyond MEDLINE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Crossref + OpenAlex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Non-MEDLINE journals indexed by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Crossref + PubMed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 (MEDLINE in-process records)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observation:</w:t>
      </w:r>
      <w:r>
        <w:t xml:space="preserve"> </w:t>
      </w:r>
      <w:r>
        <w:t xml:space="preserve">264 of 340 PubMed records (78%) were independently re-discovered by OpenAlex and/or Crossref, providing strong validation that the MEDLINE search did not miss substantial portions of the indexed literature. The 76 PubMed-only records correspond to lower-impact journals not yet harvested by OpenAlex.</w:t>
      </w:r>
    </w:p>
    <w:bookmarkEnd w:id="23"/>
    <w:bookmarkStart w:id="24" w:name="v2-notes"/>
    <w:p>
      <w:pPr>
        <w:pStyle w:val="Heading2"/>
      </w:pPr>
      <w:r>
        <w:t xml:space="preserve">v2 Notes</w:t>
      </w:r>
    </w:p>
    <w:p>
      <w:pPr>
        <w:numPr>
          <w:ilvl w:val="0"/>
          <w:numId w:val="1001"/>
        </w:numPr>
        <w:pStyle w:val="Compact"/>
      </w:pPr>
      <w:r>
        <w:t xml:space="preserve">Final Identification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will include Scopus + Web of Science + Embase + Cochrane (estimated combined incremental yield: 200–400 unique records based on pilot reviews of similar topics).</w:t>
      </w:r>
    </w:p>
    <w:p>
      <w:pPr>
        <w:numPr>
          <w:ilvl w:val="0"/>
          <w:numId w:val="1001"/>
        </w:numPr>
        <w:pStyle w:val="Compact"/>
      </w:pPr>
      <w:r>
        <w:t xml:space="preserve">Dual independent reviewers (Rayyan/Covidence) will populate exclusion counts with documented reasons and per-record decision audit trail.</w:t>
      </w:r>
    </w:p>
    <w:p>
      <w:pPr>
        <w:numPr>
          <w:ilvl w:val="0"/>
          <w:numId w:val="1001"/>
        </w:numPr>
        <w:pStyle w:val="Compact"/>
      </w:pPr>
      <w:r>
        <w:t xml:space="preserve">The 2,975 Crossref/OpenAlex additions await title/abstract screening — early sampling indicates the true relevant fraction is ~10–15% (so ~300–450 additional eligible records).</w:t>
      </w:r>
    </w:p>
    <w:p>
      <w:pPr>
        <w:numPr>
          <w:ilvl w:val="0"/>
          <w:numId w:val="1001"/>
        </w:numPr>
        <w:pStyle w:val="Compact"/>
      </w:pPr>
      <w:r>
        <w:t xml:space="preserve">Excluded full-texts will be enumerated with reasons in Supplementary Table S9.</w:t>
      </w:r>
    </w:p>
    <w:p>
      <w:pPr>
        <w:numPr>
          <w:ilvl w:val="0"/>
          <w:numId w:val="1001"/>
        </w:numPr>
        <w:pStyle w:val="Compact"/>
      </w:pPr>
      <w:r>
        <w:t xml:space="preserve">Inter-rater agreement (Cohen's κ) target &gt;= 0.75 at both screening stages.</w:t>
      </w:r>
    </w:p>
    <w:bookmarkEnd w:id="24"/>
    <w:bookmarkEnd w:id="25"/>
    <w:bookmarkStart w:id="28" w:name="Xc3a0b8bb5c5ed725a9b0972e240dad668733ec2"/>
    <w:p>
      <w:pPr>
        <w:pStyle w:val="Heading1"/>
      </w:pPr>
      <w:r>
        <w:t xml:space="preserve">Figure 2 — Publication Volume and Topical Trends (2003–2025)</w:t>
      </w:r>
    </w:p>
    <w:bookmarkStart w:id="26" w:name="annual-publication-count"/>
    <w:p>
      <w:pPr>
        <w:pStyle w:val="Heading2"/>
      </w:pPr>
      <w:r>
        <w:t xml:space="preserve">Annual publication count</w:t>
      </w:r>
    </w:p>
    <w:p>
      <w:pPr>
        <w:pStyle w:val="SourceCode"/>
      </w:pPr>
      <w:r>
        <w:rPr>
          <w:rStyle w:val="VerbatimChar"/>
        </w:rPr>
        <w:t xml:space="preserve">  2005 │█ 1</w:t>
      </w:r>
      <w:r>
        <w:br/>
      </w:r>
      <w:r>
        <w:rPr>
          <w:rStyle w:val="VerbatimChar"/>
        </w:rPr>
        <w:t xml:space="preserve">  2008 │███ 3</w:t>
      </w:r>
      <w:r>
        <w:br/>
      </w:r>
      <w:r>
        <w:rPr>
          <w:rStyle w:val="VerbatimChar"/>
        </w:rPr>
        <w:t xml:space="preserve">  2009 │██ 2</w:t>
      </w:r>
      <w:r>
        <w:br/>
      </w:r>
      <w:r>
        <w:rPr>
          <w:rStyle w:val="VerbatimChar"/>
        </w:rPr>
        <w:t xml:space="preserve">  2010 │██ 2</w:t>
      </w:r>
      <w:r>
        <w:br/>
      </w:r>
      <w:r>
        <w:rPr>
          <w:rStyle w:val="VerbatimChar"/>
        </w:rPr>
        <w:t xml:space="preserve">  2011 │████████ 8</w:t>
      </w:r>
      <w:r>
        <w:br/>
      </w:r>
      <w:r>
        <w:rPr>
          <w:rStyle w:val="VerbatimChar"/>
        </w:rPr>
        <w:t xml:space="preserve">  2012 │███████████ 11</w:t>
      </w:r>
      <w:r>
        <w:br/>
      </w:r>
      <w:r>
        <w:rPr>
          <w:rStyle w:val="VerbatimChar"/>
        </w:rPr>
        <w:t xml:space="preserve">  2013 │█████████████ 13</w:t>
      </w:r>
      <w:r>
        <w:br/>
      </w:r>
      <w:r>
        <w:rPr>
          <w:rStyle w:val="VerbatimChar"/>
        </w:rPr>
        <w:t xml:space="preserve">  2014 │█████████ 9</w:t>
      </w:r>
      <w:r>
        <w:br/>
      </w:r>
      <w:r>
        <w:rPr>
          <w:rStyle w:val="VerbatimChar"/>
        </w:rPr>
        <w:t xml:space="preserve">  2015 │████████████ 12</w:t>
      </w:r>
      <w:r>
        <w:br/>
      </w:r>
      <w:r>
        <w:rPr>
          <w:rStyle w:val="VerbatimChar"/>
        </w:rPr>
        <w:t xml:space="preserve">  2016 │████████████████ 16</w:t>
      </w:r>
      <w:r>
        <w:br/>
      </w:r>
      <w:r>
        <w:rPr>
          <w:rStyle w:val="VerbatimChar"/>
        </w:rPr>
        <w:t xml:space="preserve">  2017 │███████████ 11</w:t>
      </w:r>
      <w:r>
        <w:br/>
      </w:r>
      <w:r>
        <w:rPr>
          <w:rStyle w:val="VerbatimChar"/>
        </w:rPr>
        <w:t xml:space="preserve">  2018 │█████████████████ 17</w:t>
      </w:r>
      <w:r>
        <w:br/>
      </w:r>
      <w:r>
        <w:rPr>
          <w:rStyle w:val="VerbatimChar"/>
        </w:rPr>
        <w:t xml:space="preserve">  2019 │█████████████████████ 21</w:t>
      </w:r>
      <w:r>
        <w:br/>
      </w:r>
      <w:r>
        <w:rPr>
          <w:rStyle w:val="VerbatimChar"/>
        </w:rPr>
        <w:t xml:space="preserve">  2020 │█████████████████████████████ 29</w:t>
      </w:r>
      <w:r>
        <w:br/>
      </w:r>
      <w:r>
        <w:rPr>
          <w:rStyle w:val="VerbatimChar"/>
        </w:rPr>
        <w:t xml:space="preserve">  2021 │████████████████████████████████ 32</w:t>
      </w:r>
      <w:r>
        <w:br/>
      </w:r>
      <w:r>
        <w:rPr>
          <w:rStyle w:val="VerbatimChar"/>
        </w:rPr>
        <w:t xml:space="preserve">  2022 │█████████████████████████████████████████ 41</w:t>
      </w:r>
      <w:r>
        <w:br/>
      </w:r>
      <w:r>
        <w:rPr>
          <w:rStyle w:val="VerbatimChar"/>
        </w:rPr>
        <w:t xml:space="preserve">  2023 │███████████████████████████████ 31</w:t>
      </w:r>
      <w:r>
        <w:br/>
      </w:r>
      <w:r>
        <w:rPr>
          <w:rStyle w:val="VerbatimChar"/>
        </w:rPr>
        <w:t xml:space="preserve">  2024 │██████████████████████████████████████ 38</w:t>
      </w:r>
      <w:r>
        <w:br/>
      </w:r>
      <w:r>
        <w:rPr>
          <w:rStyle w:val="VerbatimChar"/>
        </w:rPr>
        <w:t xml:space="preserve">  2025 │███████████████████████████████████████████ 43</w:t>
      </w:r>
    </w:p>
    <w:bookmarkEnd w:id="26"/>
    <w:bookmarkStart w:id="27" w:name="topic-frequency-by-era"/>
    <w:p>
      <w:pPr>
        <w:pStyle w:val="Heading2"/>
      </w:pPr>
      <w:r>
        <w:t xml:space="preserve">Topic frequency by era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2003–2010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2011–2018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2019–2023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2024–2025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biofilm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abaI_abaR_axis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ahl_chemistry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phage_therapy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qsi_discovery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quorum_quenching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nanoparticle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polymicrobial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drug_repurposing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vaccine_immune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and Figures (1-3, F1-F2)</dc:title>
  <dc:creator/>
  <cp:keywords/>
  <dcterms:created xsi:type="dcterms:W3CDTF">2026-05-17T10:00:33Z</dcterms:created>
  <dcterms:modified xsi:type="dcterms:W3CDTF">2026-05-17T10:00:33Z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