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External References</w:t>
      </w:r>
    </w:p>
    <w:bookmarkStart w:id="24" w:name="X5901a19796ce1d02593c0dfb76c6f352f81c262"/>
    <w:p>
      <w:pPr>
        <w:pStyle w:val="Heading1"/>
      </w:pPr>
      <w:r>
        <w:t xml:space="preserve">External References (Methodological, Epidemiological, Guideline)</w:t>
      </w:r>
    </w:p>
    <w:p>
      <w:pPr>
        <w:pStyle w:val="FirstParagraph"/>
      </w:pPr>
      <w:r>
        <w:t xml:space="preserve">These references are cited in the manuscript but are not part of the</w:t>
      </w:r>
      <w:r>
        <w:t xml:space="preserve"> </w:t>
      </w:r>
      <w:r>
        <w:rPr>
          <w:iCs/>
          <w:i/>
        </w:rPr>
        <w:t xml:space="preserve">A. baumannii</w:t>
      </w:r>
      <w:r>
        <w:t xml:space="preserve"> </w:t>
      </w:r>
      <w:r>
        <w:t xml:space="preserve">QS primary corpus. They will be merged into the master Vancouver reference list at submission and assigned consecutive numbers after the corpus references.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Cited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Vancouver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MJ, McKenzie JE, Bossuyt PM, Boutron I, Hoffmann TC, Mulrow CD, et al. The PRISMA 2020 statement: an updated guideline for reporting systematic reviews.</w:t>
            </w:r>
            <w:r>
              <w:t xml:space="preserve"> </w:t>
            </w:r>
            <w:r>
              <w:rPr>
                <w:iCs/>
                <w:i/>
              </w:rPr>
              <w:t xml:space="preserve">BMJ</w:t>
            </w:r>
            <w:r>
              <w:t xml:space="preserve">. 2021;372:n71. doi:10.1136/bmj.n71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Rethlefsen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Rethlefsen ML, Kirtley S, Waffenschmidt S, Ayala AP, Moher D, Page MJ, et al. PRISMA-S: an extension to the PRISMA Statement for Reporting Literature Searches in Systematic Reviews.</w:t>
            </w:r>
            <w:r>
              <w:t xml:space="preserve"> </w:t>
            </w:r>
            <w:r>
              <w:rPr>
                <w:iCs/>
                <w:i/>
              </w:rPr>
              <w:t xml:space="preserve">Syst Rev</w:t>
            </w:r>
            <w:r>
              <w:t xml:space="preserve">. 2021;10:39. doi:10.1186/s13643-020-01542-z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Campbell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Campbell M, McKenzie JE, Sowden A, Katikireddi SV, Brennan SE, Ellis S, et al. Synthesis without meta-analysis (SWiM) in systematic reviews: reporting guideline.</w:t>
            </w:r>
            <w:r>
              <w:t xml:space="preserve"> </w:t>
            </w:r>
            <w:r>
              <w:rPr>
                <w:iCs/>
                <w:i/>
              </w:rPr>
              <w:t xml:space="preserve">BMJ</w:t>
            </w:r>
            <w:r>
              <w:t xml:space="preserve">. 2020;368:l6890. doi:10.1136/bmj.l6890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Hooijmans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Hooijmans CR, Rovers MM, de Vries RB, Leenaars M, Ritskes-Hoitinga M, Langendam MW. SYRCLE's risk of bias tool for animal studies.</w:t>
            </w:r>
            <w:r>
              <w:t xml:space="preserve"> </w:t>
            </w:r>
            <w:r>
              <w:rPr>
                <w:iCs/>
                <w:i/>
              </w:rPr>
              <w:t xml:space="preserve">BMC Med Res Methodol</w:t>
            </w:r>
            <w:r>
              <w:t xml:space="preserve">. 2014;14:43. doi:10.1186/1471-2288-14-43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Sterne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Sterne JAC, Savović J, Page MJ, Elbers RG, Blencowe NS, Boutron I, et al. RoB 2: a revised tool for assessing risk of bias in randomised trials.</w:t>
            </w:r>
            <w:r>
              <w:t xml:space="preserve"> </w:t>
            </w:r>
            <w:r>
              <w:rPr>
                <w:iCs/>
                <w:i/>
              </w:rPr>
              <w:t xml:space="preserve">BMJ</w:t>
            </w:r>
            <w:r>
              <w:t xml:space="preserve">. 2019;366:l4898. doi:10.1136/bmj.l4898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Wells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GA, Shea B, O'Connell D, Peterson J, Welch V, Losos M, Tugwell P. The Newcastle-Ottawa Scale (NOS) for assessing the quality of nonrandomised studies in meta-analyses. Ottawa Hospital Research Institute; 2014.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http://www.ohri.ca/programs/clinical_epidemiology/oxford.asp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JBI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Joanna Briggs Institute.</w:t>
            </w:r>
            <w:r>
              <w:t xml:space="preserve"> </w:t>
            </w:r>
            <w:r>
              <w:rPr>
                <w:iCs/>
                <w:i/>
              </w:rPr>
              <w:t xml:space="preserve">JBI Manual for Evidence Synthesis</w:t>
            </w:r>
            <w:r>
              <w:t xml:space="preserve">. Aromataris E, Munn Z (eds). 2020. doi:10.46658/JBIMES-20-01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Krithikadatta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Krithikadatta J, Gopikrishna V, Datta M. CRIS Guidelines (Checklist for Reporting In-vitro Studies): A concept note.</w:t>
            </w:r>
            <w:r>
              <w:t xml:space="preserve"> </w:t>
            </w:r>
            <w:r>
              <w:rPr>
                <w:iCs/>
                <w:i/>
              </w:rPr>
              <w:t xml:space="preserve">J Conserv Dent</w:t>
            </w:r>
            <w:r>
              <w:t xml:space="preserve">. 2014;17(4):301–4. doi:10.4103/0972-0707.136338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 KGM, de Groot JAH, Bouwmeester W, Vergouwe Y, Mallett S, Altman DG, et al. Critical appraisal and data extraction for systematic reviews of prediction modelling studies: the CHARMS checklist.</w:t>
            </w:r>
            <w:r>
              <w:t xml:space="preserve"> </w:t>
            </w:r>
            <w:r>
              <w:rPr>
                <w:iCs/>
                <w:i/>
              </w:rPr>
              <w:t xml:space="preserve">PLoS Med</w:t>
            </w:r>
            <w:r>
              <w:t xml:space="preserve">. 2014;11(10):e1001744. doi:10.1371/journal.pmed.1001744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Bustin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Bustin SA, Benes V, Garson JA, Hellemans J, Huggett J, Kubista M, et al. The MIQE guidelines: minimum information for publication of quantitative real-time PCR experiments.</w:t>
            </w:r>
            <w:r>
              <w:t xml:space="preserve"> </w:t>
            </w:r>
            <w:r>
              <w:rPr>
                <w:iCs/>
                <w:i/>
              </w:rPr>
              <w:t xml:space="preserve">Clin Chem</w:t>
            </w:r>
            <w:r>
              <w:t xml:space="preserve">. 2009;55(4):611–22. doi:10.1373/clinchem.2008.112797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Percie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Percie du Sert N, Hurst V, Ahluwalia A, Alam S, Avey MT, Baker M, et al. The ARRIVE guidelines 2.0: Updated guidelines for reporting animal research.</w:t>
            </w:r>
            <w:r>
              <w:t xml:space="preserve"> </w:t>
            </w:r>
            <w:r>
              <w:rPr>
                <w:iCs/>
                <w:i/>
              </w:rPr>
              <w:t xml:space="preserve">PLoS Biol</w:t>
            </w:r>
            <w:r>
              <w:t xml:space="preserve">. 2020;18(7):e3000410. doi:10.1371/journal.pbio.3000411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Egger 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Egger M, Davey Smith G, Schneider M, Minder C. Bias in meta-analysis detected by a simple, graphical test.</w:t>
            </w:r>
            <w:r>
              <w:t xml:space="preserve"> </w:t>
            </w:r>
            <w:r>
              <w:rPr>
                <w:iCs/>
                <w:i/>
              </w:rPr>
              <w:t xml:space="preserve">BMJ</w:t>
            </w:r>
            <w:r>
              <w:t xml:space="preserve">. 1997;315(7109):629–34. doi:10.1136/bmj.315.7109.629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Guyatt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Guyatt GH, Oxman AD, Vist GE, Kunz R, Falck-Ytter Y, Alonso-Coello P, Schünemann HJ; GRADE Working Group. GRADE: an emerging consensus on rating quality of evidence and strength of recommendations.</w:t>
            </w:r>
            <w:r>
              <w:t xml:space="preserve"> </w:t>
            </w:r>
            <w:r>
              <w:rPr>
                <w:iCs/>
                <w:i/>
              </w:rPr>
              <w:t xml:space="preserve">BMJ</w:t>
            </w:r>
            <w:r>
              <w:t xml:space="preserve">. 2008;336(7650):924–6. doi:10.1136/bmj.39489.470347.AD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Rice LB. Federal funding for the study of antimicrobial resistance in nosocomial pathogens: no ESKAPE.</w:t>
            </w:r>
            <w:r>
              <w:t xml:space="preserve"> </w:t>
            </w:r>
            <w:r>
              <w:rPr>
                <w:iCs/>
                <w:i/>
              </w:rPr>
              <w:t xml:space="preserve">J Infect Dis</w:t>
            </w:r>
            <w:r>
              <w:t xml:space="preserve">. 2008;197(8):1079–81. doi:10.1086/533452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Murray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Murray CJL, Ikuta KS, Sharara F, Swetschinski L, Robles Aguilar G, Gray A, et al. Global burden of bacterial antimicrobial resistance in 2019: a systematic analysis.</w:t>
            </w:r>
            <w:r>
              <w:t xml:space="preserve"> </w:t>
            </w:r>
            <w:r>
              <w:rPr>
                <w:iCs/>
                <w:i/>
              </w:rPr>
              <w:t xml:space="preserve">Lancet</w:t>
            </w:r>
            <w:r>
              <w:t xml:space="preserve">. 2022;399(10325):629–55. doi:10.1016/S0140-6736(21)02724-0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Health Organization.</w:t>
            </w:r>
            <w:r>
              <w:t xml:space="preserve"> </w:t>
            </w:r>
            <w:r>
              <w:rPr>
                <w:iCs/>
                <w:i/>
              </w:rPr>
              <w:t xml:space="preserve">WHO Bacterial Priority Pathogens List, 2024: Bacterial pathogens of public health importance to guide research, development, and strategies to prevent and control antimicrobial resistance</w:t>
            </w:r>
            <w:r>
              <w:t xml:space="preserve">. Geneva: WHO; 2024.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https://www.who.int/publications/i/item/9789240093461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Centers for Disease Control and Prevention.</w:t>
            </w:r>
            <w:r>
              <w:t xml:space="preserve"> </w:t>
            </w:r>
            <w:r>
              <w:rPr>
                <w:iCs/>
                <w:i/>
              </w:rPr>
              <w:t xml:space="preserve">Antibiotic Resistance Threats in the United States, 2019</w:t>
            </w:r>
            <w:r>
              <w:t xml:space="preserve">. Atlanta: U.S. Department of Health and Human Services, CDC; 2019.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https://www.cdc.gov/drugresistance/biggest-threats.html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Centers for Disease Control and Prevention.</w:t>
            </w:r>
            <w:r>
              <w:t xml:space="preserve"> </w:t>
            </w:r>
            <w:r>
              <w:rPr>
                <w:iCs/>
                <w:i/>
              </w:rPr>
              <w:t xml:space="preserve">Antimicrobial Resistance Threats — 2024 Update</w:t>
            </w:r>
            <w:r>
              <w:t xml:space="preserve">. Atlanta: U.S. Department of Health and Human Services, CDC; 2024.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https://www.cdc.gov/antimicrobial-resistance/data-research/threats/index.html</w:t>
              </w:r>
            </w:hyperlink>
          </w:p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www.ohri.ca/programs/clinical_epidemiology/oxford.asp" TargetMode="External" /><Relationship Type="http://schemas.openxmlformats.org/officeDocument/2006/relationships/hyperlink" Id="rId23" Target="https://www.cdc.gov/antimicrobial-resistance/data-research/threats/index.html" TargetMode="External" /><Relationship Type="http://schemas.openxmlformats.org/officeDocument/2006/relationships/hyperlink" Id="rId22" Target="https://www.cdc.gov/drugresistance/biggest-threats.html" TargetMode="External" /><Relationship Type="http://schemas.openxmlformats.org/officeDocument/2006/relationships/hyperlink" Id="rId21" Target="https://www.who.int/publications/i/item/978924009346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www.ohri.ca/programs/clinical_epidemiology/oxford.asp" TargetMode="External" /><Relationship Type="http://schemas.openxmlformats.org/officeDocument/2006/relationships/hyperlink" Id="rId23" Target="https://www.cdc.gov/antimicrobial-resistance/data-research/threats/index.html" TargetMode="External" /><Relationship Type="http://schemas.openxmlformats.org/officeDocument/2006/relationships/hyperlink" Id="rId22" Target="https://www.cdc.gov/drugresistance/biggest-threats.html" TargetMode="External" /><Relationship Type="http://schemas.openxmlformats.org/officeDocument/2006/relationships/hyperlink" Id="rId21" Target="https://www.who.int/publications/i/item/978924009346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References</dc:title>
  <dc:creator/>
  <cp:keywords/>
  <dcterms:created xsi:type="dcterms:W3CDTF">2026-05-17T10:00:33Z</dcterms:created>
  <dcterms:modified xsi:type="dcterms:W3CDTF">2026-05-17T10:00:33Z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