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ijaa-submission-checklist"/>
    <w:p>
      <w:pPr>
        <w:pStyle w:val="Heading1"/>
      </w:pPr>
      <w:r>
        <w:t xml:space="preserve">IJAA Submission Checklist</w:t>
      </w:r>
    </w:p>
    <w:p>
      <w:pPr>
        <w:pStyle w:val="FirstParagraph"/>
      </w:pPr>
      <w:r>
        <w:rPr>
          <w:bCs/>
          <w:b/>
        </w:rPr>
        <w:t xml:space="preserve">Manuscript:</w:t>
      </w:r>
      <w:r>
        <w:t xml:space="preserve"> </w:t>
      </w:r>
      <w:r>
        <w:rPr>
          <w:iCs/>
          <w:i/>
        </w:rPr>
        <w:t xml:space="preserve">Quorum Sensing in Acinetobacter baumannii: Molecular Architecture, Therapeutic Targeting and Translational Horizons — A Systematic Review (2003–2025)</w:t>
      </w:r>
      <w:r>
        <w:t xml:space="preserve"> </w:t>
      </w:r>
      <w:r>
        <w:rPr>
          <w:bCs/>
          <w:b/>
        </w:rPr>
        <w:t xml:space="preserve">Target journal:</w:t>
      </w:r>
      <w:r>
        <w:t xml:space="preserve"> </w:t>
      </w:r>
      <w:r>
        <w:t xml:space="preserve">International Journal of Antimicrobial Agents (IJAA), Elsevier</w:t>
      </w:r>
      <w:r>
        <w:t xml:space="preserve"> </w:t>
      </w:r>
      <w:r>
        <w:rPr>
          <w:bCs/>
          <w:b/>
        </w:rPr>
        <w:t xml:space="preserve">Submission portal:</w:t>
      </w:r>
      <w:r>
        <w:t xml:space="preserve"> </w:t>
      </w:r>
      <w:r>
        <w:t xml:space="preserve">Editorial Manager (</w:t>
      </w:r>
      <w:hyperlink r:id="rId20">
        <w:r>
          <w:rPr>
            <w:rStyle w:val="Hyperlink"/>
          </w:rPr>
          <w:t xml:space="preserve">https://www.editorialmanager.com/ijaa/</w:t>
        </w:r>
      </w:hyperlink>
      <w:r>
        <w:t xml:space="preserve">)</w:t>
      </w:r>
    </w:p>
    <w:p>
      <w:pPr>
        <w:pStyle w:val="BodyText"/>
      </w:pPr>
      <w:r>
        <w:t xml:space="preserve">Use this checklist as a final pre-submission verification. Tick each box only after the underlying artefact has been produced and verified.</w:t>
      </w:r>
    </w:p>
    <w:bookmarkStart w:id="21" w:name="a-core-narrative-files"/>
    <w:p>
      <w:pPr>
        <w:pStyle w:val="Heading2"/>
      </w:pPr>
      <w:r>
        <w:t xml:space="preserve">A. Core narrative files</w:t>
      </w:r>
    </w:p>
    <w:p>
      <w:pPr>
        <w:numPr>
          <w:ilvl w:val="0"/>
          <w:numId w:val="1001"/>
        </w:numPr>
        <w:pStyle w:val="Compact"/>
      </w:pPr>
      <w:r>
        <w:t xml:space="preserve">☐ Cover letter prepared and personalised (</w:t>
      </w:r>
      <w:r>
        <w:rPr>
          <w:rStyle w:val="VerbatimChar"/>
        </w:rPr>
        <w:t xml:space="preserve">/submission/cover_letter.docx</w:t>
      </w:r>
      <w:r>
        <w:t xml:space="preserve">); placeholders for author name, affiliation, contact details, suggested reviewers and prior-dissemination/preprint disclosure completed.</w:t>
      </w:r>
    </w:p>
    <w:p>
      <w:pPr>
        <w:numPr>
          <w:ilvl w:val="0"/>
          <w:numId w:val="1001"/>
        </w:numPr>
        <w:pStyle w:val="Compact"/>
      </w:pPr>
      <w:r>
        <w:t xml:space="preserve">☐ Title page complete with all required elements (</w:t>
      </w:r>
      <w:r>
        <w:rPr>
          <w:rStyle w:val="VerbatimChar"/>
        </w:rPr>
        <w:t xml:space="preserve">/submission/title_page.docx</w:t>
      </w:r>
      <w:r>
        <w:t xml:space="preserve">):</w:t>
      </w:r>
    </w:p>
    <w:p>
      <w:pPr>
        <w:numPr>
          <w:ilvl w:val="1"/>
          <w:numId w:val="1002"/>
        </w:numPr>
        <w:pStyle w:val="Compact"/>
      </w:pPr>
      <w:r>
        <w:t xml:space="preserve">☐ Manuscript title (≤ 150 characters, confirmed)</w:t>
      </w:r>
    </w:p>
    <w:p>
      <w:pPr>
        <w:numPr>
          <w:ilvl w:val="1"/>
          <w:numId w:val="1002"/>
        </w:numPr>
        <w:pStyle w:val="Compact"/>
      </w:pPr>
      <w:r>
        <w:t xml:space="preserve">☐ Running head</w:t>
      </w:r>
    </w:p>
    <w:p>
      <w:pPr>
        <w:numPr>
          <w:ilvl w:val="1"/>
          <w:numId w:val="1002"/>
        </w:numPr>
        <w:pStyle w:val="Compact"/>
      </w:pPr>
      <w:r>
        <w:t xml:space="preserve">☐ All authors with superscript affiliation numerals</w:t>
      </w:r>
    </w:p>
    <w:p>
      <w:pPr>
        <w:numPr>
          <w:ilvl w:val="1"/>
          <w:numId w:val="1002"/>
        </w:numPr>
        <w:pStyle w:val="Compact"/>
      </w:pPr>
      <w:r>
        <w:t xml:space="preserve">☐ Numbered affiliations</w:t>
      </w:r>
    </w:p>
    <w:p>
      <w:pPr>
        <w:numPr>
          <w:ilvl w:val="1"/>
          <w:numId w:val="1002"/>
        </w:numPr>
        <w:pStyle w:val="Compact"/>
      </w:pPr>
      <w:r>
        <w:t xml:space="preserve">☐ Corresponding author block (name, address, telephone, email, ORCID)</w:t>
      </w:r>
    </w:p>
    <w:p>
      <w:pPr>
        <w:numPr>
          <w:ilvl w:val="1"/>
          <w:numId w:val="1002"/>
        </w:numPr>
        <w:pStyle w:val="Compact"/>
      </w:pPr>
      <w:r>
        <w:t xml:space="preserve">☐ Word counts (abstract, main text)</w:t>
      </w:r>
    </w:p>
    <w:p>
      <w:pPr>
        <w:numPr>
          <w:ilvl w:val="1"/>
          <w:numId w:val="1002"/>
        </w:numPr>
        <w:pStyle w:val="Compact"/>
      </w:pPr>
      <w:r>
        <w:t xml:space="preserve">☐ Number of tables, figures, references and supplementary files</w:t>
      </w:r>
    </w:p>
    <w:p>
      <w:pPr>
        <w:numPr>
          <w:ilvl w:val="1"/>
          <w:numId w:val="1002"/>
        </w:numPr>
        <w:pStyle w:val="Compact"/>
      </w:pPr>
      <w:r>
        <w:t xml:space="preserve">☐ Keywords (4–7)</w:t>
      </w:r>
    </w:p>
    <w:p>
      <w:pPr>
        <w:numPr>
          <w:ilvl w:val="1"/>
          <w:numId w:val="1002"/>
        </w:numPr>
        <w:pStyle w:val="Compact"/>
      </w:pPr>
      <w:r>
        <w:t xml:space="preserve">☐ Conflicts of interest statement</w:t>
      </w:r>
    </w:p>
    <w:p>
      <w:pPr>
        <w:numPr>
          <w:ilvl w:val="1"/>
          <w:numId w:val="1002"/>
        </w:numPr>
        <w:pStyle w:val="Compact"/>
      </w:pPr>
      <w:r>
        <w:t xml:space="preserve">☐ Funding statement</w:t>
      </w:r>
    </w:p>
    <w:p>
      <w:pPr>
        <w:numPr>
          <w:ilvl w:val="1"/>
          <w:numId w:val="1002"/>
        </w:numPr>
        <w:pStyle w:val="Compact"/>
      </w:pPr>
      <w:r>
        <w:t xml:space="preserve">☐ Ethical approval statement (or N/A justification for SRs)</w:t>
      </w:r>
    </w:p>
    <w:p>
      <w:pPr>
        <w:numPr>
          <w:ilvl w:val="1"/>
          <w:numId w:val="1002"/>
        </w:numPr>
        <w:pStyle w:val="Compact"/>
      </w:pPr>
      <w:r>
        <w:t xml:space="preserve">☐ Data availability statement</w:t>
      </w:r>
    </w:p>
    <w:p>
      <w:pPr>
        <w:numPr>
          <w:ilvl w:val="1"/>
          <w:numId w:val="1002"/>
        </w:numPr>
        <w:pStyle w:val="Compact"/>
      </w:pPr>
      <w:r>
        <w:t xml:space="preserve">☐ CRediT author contributions</w:t>
      </w:r>
    </w:p>
    <w:p>
      <w:pPr>
        <w:numPr>
          <w:ilvl w:val="1"/>
          <w:numId w:val="1002"/>
        </w:numPr>
        <w:pStyle w:val="Compact"/>
      </w:pPr>
      <w:r>
        <w:t xml:space="preserve">☐ Acknowledgements</w:t>
      </w:r>
    </w:p>
    <w:p>
      <w:pPr>
        <w:numPr>
          <w:ilvl w:val="1"/>
          <w:numId w:val="1002"/>
        </w:numPr>
        <w:pStyle w:val="Compact"/>
      </w:pPr>
      <w:r>
        <w:t xml:space="preserve">☐ Prior dissemination / preprint disclosure</w:t>
      </w:r>
    </w:p>
    <w:p>
      <w:pPr>
        <w:numPr>
          <w:ilvl w:val="0"/>
          <w:numId w:val="1001"/>
        </w:numPr>
        <w:pStyle w:val="Compact"/>
      </w:pPr>
      <w:r>
        <w:t xml:space="preserve">☐ Main manuscript file (Word,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 prepared with:</w:t>
      </w:r>
    </w:p>
    <w:p>
      <w:pPr>
        <w:numPr>
          <w:ilvl w:val="1"/>
          <w:numId w:val="1003"/>
        </w:numPr>
        <w:pStyle w:val="Compact"/>
      </w:pPr>
      <w:r>
        <w:t xml:space="preserve">☐ Double-spaced text</w:t>
      </w:r>
    </w:p>
    <w:p>
      <w:pPr>
        <w:numPr>
          <w:ilvl w:val="1"/>
          <w:numId w:val="1003"/>
        </w:numPr>
        <w:pStyle w:val="Compact"/>
      </w:pPr>
      <w:r>
        <w:t xml:space="preserve">☐ Continuous line numbering</w:t>
      </w:r>
    </w:p>
    <w:p>
      <w:pPr>
        <w:numPr>
          <w:ilvl w:val="1"/>
          <w:numId w:val="1003"/>
        </w:numPr>
        <w:pStyle w:val="Compact"/>
      </w:pPr>
      <w:r>
        <w:t xml:space="preserve">☐ All citations rendered in numbered Vancouver style consistent with the reference list</w:t>
      </w:r>
    </w:p>
    <w:p>
      <w:pPr>
        <w:numPr>
          <w:ilvl w:val="1"/>
          <w:numId w:val="1003"/>
        </w:numPr>
        <w:pStyle w:val="Compact"/>
      </w:pPr>
      <w:r>
        <w:t xml:space="preserve">☐ Highlights (3–5 bullets, each ≤ 85 characters including spaces)</w:t>
      </w:r>
    </w:p>
    <w:p>
      <w:pPr>
        <w:numPr>
          <w:ilvl w:val="1"/>
          <w:numId w:val="1003"/>
        </w:numPr>
        <w:pStyle w:val="Compact"/>
      </w:pPr>
      <w:r>
        <w:t xml:space="preserve">☐ Structured abstract (Background / Objective / Methods / Results / Conclusions, ≤ 300 words)</w:t>
      </w:r>
    </w:p>
    <w:p>
      <w:pPr>
        <w:numPr>
          <w:ilvl w:val="1"/>
          <w:numId w:val="1003"/>
        </w:numPr>
        <w:pStyle w:val="Compact"/>
      </w:pPr>
      <w:r>
        <w:t xml:space="preserve">☐ Keywords (4–7)</w:t>
      </w:r>
    </w:p>
    <w:p>
      <w:pPr>
        <w:numPr>
          <w:ilvl w:val="1"/>
          <w:numId w:val="1003"/>
        </w:numPr>
        <w:pStyle w:val="Compact"/>
      </w:pPr>
      <w:r>
        <w:t xml:space="preserve">☐ Main text ≤ 10,000 words (excluding references, tables, figure legends) — or written justification for extended length in the cover letter</w:t>
      </w:r>
    </w:p>
    <w:p>
      <w:pPr>
        <w:numPr>
          <w:ilvl w:val="1"/>
          <w:numId w:val="1003"/>
        </w:numPr>
        <w:pStyle w:val="Compact"/>
      </w:pPr>
      <w:r>
        <w:t xml:space="preserve">☐ Data Availability Statement at the end of the main text, before references</w:t>
      </w:r>
    </w:p>
    <w:bookmarkEnd w:id="21"/>
    <w:bookmarkStart w:id="22" w:name="b-figures"/>
    <w:p>
      <w:pPr>
        <w:pStyle w:val="Heading2"/>
      </w:pPr>
      <w:r>
        <w:t xml:space="preserve">B. Figures</w:t>
      </w:r>
    </w:p>
    <w:p>
      <w:pPr>
        <w:numPr>
          <w:ilvl w:val="0"/>
          <w:numId w:val="1004"/>
        </w:numPr>
        <w:pStyle w:val="Compact"/>
      </w:pPr>
      <w:r>
        <w:t xml:space="preserve">☐ Figures supplied as separate high-resolution files (TIFF or PDF, ≥ 300 DPI; vector formats preferred for line art).</w:t>
      </w:r>
    </w:p>
    <w:p>
      <w:pPr>
        <w:numPr>
          <w:ilvl w:val="0"/>
          <w:numId w:val="1004"/>
        </w:numPr>
        <w:pStyle w:val="Compact"/>
      </w:pPr>
      <w:r>
        <w:t xml:space="preserve">☐ Each figure cited in the text in numerical order.</w:t>
      </w:r>
    </w:p>
    <w:p>
      <w:pPr>
        <w:numPr>
          <w:ilvl w:val="0"/>
          <w:numId w:val="1004"/>
        </w:numPr>
        <w:pStyle w:val="Compact"/>
      </w:pPr>
      <w:r>
        <w:t xml:space="preserve">☐ Figure legends placed at the end of the main manuscript file, after the references and before any tables.</w:t>
      </w:r>
    </w:p>
    <w:p>
      <w:pPr>
        <w:numPr>
          <w:ilvl w:val="0"/>
          <w:numId w:val="1004"/>
        </w:numPr>
        <w:pStyle w:val="Compact"/>
      </w:pPr>
      <w:r>
        <w:t xml:space="preserve">☐ Colour figures: ensure they remain interpretable in black-and-white print and that any colour scheme is colour-blind friendly.</w:t>
      </w:r>
    </w:p>
    <w:p>
      <w:pPr>
        <w:numPr>
          <w:ilvl w:val="0"/>
          <w:numId w:val="1004"/>
        </w:numPr>
        <w:pStyle w:val="Compact"/>
      </w:pPr>
      <w:r>
        <w:t xml:space="preserve">☐ Permission obtained and credited for any reproduced figure or table.</w:t>
      </w:r>
    </w:p>
    <w:bookmarkEnd w:id="22"/>
    <w:bookmarkStart w:id="23" w:name="c-tables"/>
    <w:p>
      <w:pPr>
        <w:pStyle w:val="Heading2"/>
      </w:pPr>
      <w:r>
        <w:t xml:space="preserve">C. Tables</w:t>
      </w:r>
    </w:p>
    <w:p>
      <w:pPr>
        <w:numPr>
          <w:ilvl w:val="0"/>
          <w:numId w:val="1005"/>
        </w:numPr>
        <w:pStyle w:val="Compact"/>
      </w:pPr>
      <w:r>
        <w:t xml:space="preserve">☐ All tables embedded in the main manuscript file in numerical order.</w:t>
      </w:r>
    </w:p>
    <w:p>
      <w:pPr>
        <w:numPr>
          <w:ilvl w:val="0"/>
          <w:numId w:val="1005"/>
        </w:numPr>
        <w:pStyle w:val="Compact"/>
      </w:pPr>
      <w:r>
        <w:t xml:space="preserve">☐ Each table cited in the text in numerical order (re-number if necessary to match order of mention).</w:t>
      </w:r>
    </w:p>
    <w:p>
      <w:pPr>
        <w:numPr>
          <w:ilvl w:val="0"/>
          <w:numId w:val="1005"/>
        </w:numPr>
        <w:pStyle w:val="Compact"/>
      </w:pPr>
      <w:r>
        <w:t xml:space="preserve">☐ Footnotes and abbreviation legends provided for every table.</w:t>
      </w:r>
    </w:p>
    <w:bookmarkEnd w:id="23"/>
    <w:bookmarkStart w:id="24" w:name="d-supplementary-materials"/>
    <w:p>
      <w:pPr>
        <w:pStyle w:val="Heading2"/>
      </w:pPr>
      <w:r>
        <w:t xml:space="preserve">D. Supplementary materials</w:t>
      </w:r>
    </w:p>
    <w:p>
      <w:pPr>
        <w:numPr>
          <w:ilvl w:val="0"/>
          <w:numId w:val="1006"/>
        </w:numPr>
        <w:pStyle w:val="Compact"/>
      </w:pPr>
      <w:r>
        <w:t xml:space="preserve">☐ S1 — PRISMA 2020 checklist (</w:t>
      </w:r>
      <w:r>
        <w:rPr>
          <w:rStyle w:val="VerbatimChar"/>
        </w:rPr>
        <w:t xml:space="preserve">supplementary/S1_prisma2020_checklist.docx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☐ S2 — Search strategies for every database, with date of execution and record counts.</w:t>
      </w:r>
    </w:p>
    <w:p>
      <w:pPr>
        <w:numPr>
          <w:ilvl w:val="0"/>
          <w:numId w:val="1006"/>
        </w:numPr>
        <w:pStyle w:val="Compact"/>
      </w:pPr>
      <w:r>
        <w:t xml:space="preserve">☐ S3 — PRISMA 2020 flow data, including deduplication and cross-database overlap counts.</w:t>
      </w:r>
    </w:p>
    <w:p>
      <w:pPr>
        <w:numPr>
          <w:ilvl w:val="0"/>
          <w:numId w:val="1006"/>
        </w:numPr>
        <w:pStyle w:val="Compact"/>
      </w:pPr>
      <w:r>
        <w:t xml:space="preserve">☐ S4 — Data extraction form (blank template and a worked example).</w:t>
      </w:r>
    </w:p>
    <w:p>
      <w:pPr>
        <w:numPr>
          <w:ilvl w:val="0"/>
          <w:numId w:val="1006"/>
        </w:numPr>
        <w:pStyle w:val="Compact"/>
      </w:pPr>
      <w:r>
        <w:t xml:space="preserve">☐ S5 — Categorised corpus (CSV).</w:t>
      </w:r>
    </w:p>
    <w:p>
      <w:pPr>
        <w:numPr>
          <w:ilvl w:val="0"/>
          <w:numId w:val="1006"/>
        </w:numPr>
        <w:pStyle w:val="Compact"/>
      </w:pPr>
      <w:r>
        <w:t xml:space="preserve">☐ S6 — Evidence-claims database (JSON).</w:t>
      </w:r>
    </w:p>
    <w:p>
      <w:pPr>
        <w:numPr>
          <w:ilvl w:val="0"/>
          <w:numId w:val="1006"/>
        </w:numPr>
        <w:pStyle w:val="Compact"/>
      </w:pPr>
      <w:r>
        <w:t xml:space="preserve">☐ S7 — Full bibliography of the 340 included records.</w:t>
      </w:r>
    </w:p>
    <w:p>
      <w:pPr>
        <w:numPr>
          <w:ilvl w:val="0"/>
          <w:numId w:val="1006"/>
        </w:numPr>
        <w:pStyle w:val="Compact"/>
      </w:pPr>
      <w:r>
        <w:t xml:space="preserve">☐ S8 — Citation shortlist (top records by priority score).</w:t>
      </w:r>
    </w:p>
    <w:p>
      <w:pPr>
        <w:numPr>
          <w:ilvl w:val="0"/>
          <w:numId w:val="1006"/>
        </w:numPr>
        <w:pStyle w:val="Compact"/>
      </w:pPr>
      <w:r>
        <w:t xml:space="preserve">☐ S9 — Figure source files and generation scripts.</w:t>
      </w:r>
    </w:p>
    <w:p>
      <w:pPr>
        <w:numPr>
          <w:ilvl w:val="0"/>
          <w:numId w:val="1006"/>
        </w:numPr>
        <w:pStyle w:val="Compact"/>
      </w:pPr>
      <w:r>
        <w:t xml:space="preserve">☐ Each supplementary file has a one-line legend in the main manuscript's Supplementary Material section.</w:t>
      </w:r>
    </w:p>
    <w:bookmarkEnd w:id="24"/>
    <w:bookmarkStart w:id="25" w:name="e-authorship-and-disclosures"/>
    <w:p>
      <w:pPr>
        <w:pStyle w:val="Heading2"/>
      </w:pPr>
      <w:r>
        <w:t xml:space="preserve">E. Authorship and disclosures</w:t>
      </w:r>
    </w:p>
    <w:p>
      <w:pPr>
        <w:numPr>
          <w:ilvl w:val="0"/>
          <w:numId w:val="1007"/>
        </w:numPr>
        <w:pStyle w:val="Compact"/>
      </w:pPr>
      <w:r>
        <w:t xml:space="preserve">☐ CRediT author contribution statement included on the title page and reviewed by every co-author.</w:t>
      </w:r>
    </w:p>
    <w:p>
      <w:pPr>
        <w:numPr>
          <w:ilvl w:val="0"/>
          <w:numId w:val="1007"/>
        </w:numPr>
        <w:pStyle w:val="Compact"/>
      </w:pPr>
      <w:r>
        <w:t xml:space="preserve">☐ Individual ICMJE Disclosure of Interest forms collected from every named author (see</w:t>
      </w:r>
      <w:r>
        <w:t xml:space="preserve"> </w:t>
      </w:r>
      <w:r>
        <w:rPr>
          <w:rStyle w:val="VerbatimChar"/>
        </w:rPr>
        <w:t xml:space="preserve">/submission/icmje_coi_template.docx</w:t>
      </w:r>
      <w:r>
        <w:t xml:space="preserve"> </w:t>
      </w:r>
      <w:r>
        <w:t xml:space="preserve">for instructions).</w:t>
      </w:r>
    </w:p>
    <w:p>
      <w:pPr>
        <w:numPr>
          <w:ilvl w:val="0"/>
          <w:numId w:val="1007"/>
        </w:numPr>
        <w:pStyle w:val="Compact"/>
      </w:pPr>
      <w:r>
        <w:t xml:space="preserve">☐ Manuscript Conflicts of Interest statement on the title page consistent with the aggregated content of the ICMJE forms.</w:t>
      </w:r>
    </w:p>
    <w:p>
      <w:pPr>
        <w:numPr>
          <w:ilvl w:val="0"/>
          <w:numId w:val="1007"/>
        </w:numPr>
        <w:pStyle w:val="Compact"/>
      </w:pPr>
      <w:r>
        <w:t xml:space="preserve">☐ All co-authors have read and approved the final version of the manuscript and consent to submission.</w:t>
      </w:r>
    </w:p>
    <w:p>
      <w:pPr>
        <w:numPr>
          <w:ilvl w:val="0"/>
          <w:numId w:val="1007"/>
        </w:numPr>
        <w:pStyle w:val="Compact"/>
      </w:pPr>
      <w:r>
        <w:t xml:space="preserve">☐ Corresponding author has confirmed correct spelling of every author's name, affiliation and ORCID identifier.</w:t>
      </w:r>
    </w:p>
    <w:bookmarkEnd w:id="25"/>
    <w:bookmarkStart w:id="26" w:name="f-compliance-and-registration"/>
    <w:p>
      <w:pPr>
        <w:pStyle w:val="Heading2"/>
      </w:pPr>
      <w:r>
        <w:t xml:space="preserve">F. Compliance and registration</w:t>
      </w:r>
    </w:p>
    <w:p>
      <w:pPr>
        <w:numPr>
          <w:ilvl w:val="0"/>
          <w:numId w:val="1008"/>
        </w:numPr>
        <w:pStyle w:val="Compact"/>
      </w:pPr>
      <w:r>
        <w:t xml:space="preserve">☐ PRISMA 2020 checklist completed and supplied as S1.</w:t>
      </w:r>
    </w:p>
    <w:p>
      <w:pPr>
        <w:numPr>
          <w:ilvl w:val="0"/>
          <w:numId w:val="1008"/>
        </w:numPr>
        <w:pStyle w:val="Compact"/>
      </w:pPr>
      <w:r>
        <w:t xml:space="preserve">☐ PROSPERO registration completed (CRD identifier inserted into the manuscript and title page) — or a transparent explanation provided in the methods if registration is retrospective.</w:t>
      </w:r>
    </w:p>
    <w:p>
      <w:pPr>
        <w:numPr>
          <w:ilvl w:val="0"/>
          <w:numId w:val="1008"/>
        </w:numPr>
        <w:pStyle w:val="Compact"/>
      </w:pPr>
      <w:r>
        <w:t xml:space="preserve">☐ Reporting-guideline statement included in the Methods (PRISMA 2020, PRISMA-S, SWiM).</w:t>
      </w:r>
    </w:p>
    <w:p>
      <w:pPr>
        <w:numPr>
          <w:ilvl w:val="0"/>
          <w:numId w:val="1008"/>
        </w:numPr>
        <w:pStyle w:val="Compact"/>
      </w:pPr>
      <w:r>
        <w:t xml:space="preserve">☐ AI-assistance disclosure included in the Data Availability Statement (or stated to be N/A).</w:t>
      </w:r>
    </w:p>
    <w:bookmarkEnd w:id="26"/>
    <w:bookmarkStart w:id="27" w:name="g-pre-submission-administrative-steps"/>
    <w:p>
      <w:pPr>
        <w:pStyle w:val="Heading2"/>
      </w:pPr>
      <w:r>
        <w:t xml:space="preserve">G. Pre-submission administrative steps</w:t>
      </w:r>
    </w:p>
    <w:p>
      <w:pPr>
        <w:numPr>
          <w:ilvl w:val="0"/>
          <w:numId w:val="1009"/>
        </w:numPr>
        <w:pStyle w:val="Compact"/>
      </w:pPr>
      <w:r>
        <w:t xml:space="preserve">☐ Corresponding author has an Editorial Manager account with verified email and ORCID linked.</w:t>
      </w:r>
    </w:p>
    <w:p>
      <w:pPr>
        <w:numPr>
          <w:ilvl w:val="0"/>
          <w:numId w:val="1009"/>
        </w:numPr>
        <w:pStyle w:val="Compact"/>
      </w:pPr>
      <w:r>
        <w:t xml:space="preserve">☐ Suggested reviewers (≥ 3) identified with names, affiliations and current institutional emails; none has co-authored with any author within the past three years.</w:t>
      </w:r>
    </w:p>
    <w:p>
      <w:pPr>
        <w:numPr>
          <w:ilvl w:val="0"/>
          <w:numId w:val="1009"/>
        </w:numPr>
        <w:pStyle w:val="Compact"/>
      </w:pPr>
      <w:r>
        <w:t xml:space="preserve">☐ Any prior preprint posting noted in the cover letter and listed under "Prior dissemination" on the title page.</w:t>
      </w:r>
    </w:p>
    <w:p>
      <w:pPr>
        <w:numPr>
          <w:ilvl w:val="0"/>
          <w:numId w:val="1009"/>
        </w:numPr>
        <w:pStyle w:val="Compact"/>
      </w:pPr>
      <w:r>
        <w:t xml:space="preserve">☐ Any prior rejection or transfer from another journal noted in the cover letter where applicable.</w:t>
      </w:r>
    </w:p>
    <w:p>
      <w:pPr>
        <w:numPr>
          <w:ilvl w:val="0"/>
          <w:numId w:val="1009"/>
        </w:numPr>
        <w:pStyle w:val="Compact"/>
      </w:pPr>
      <w:r>
        <w:t xml:space="preserve">☐ Funding sources entered into Editorial Manager metadata as well as on the title page.</w:t>
      </w:r>
    </w:p>
    <w:bookmarkEnd w:id="27"/>
    <w:bookmarkStart w:id="28" w:name="h-final-checks-before-clicking-submit"/>
    <w:p>
      <w:pPr>
        <w:pStyle w:val="Heading2"/>
      </w:pPr>
      <w:r>
        <w:t xml:space="preserve">H. Final checks before clicking "Submit"</w:t>
      </w:r>
    </w:p>
    <w:p>
      <w:pPr>
        <w:numPr>
          <w:ilvl w:val="0"/>
          <w:numId w:val="1010"/>
        </w:numPr>
        <w:pStyle w:val="Compact"/>
      </w:pPr>
      <w:r>
        <w:t xml:space="preserve">☐ All filenames are descriptive and contain no spaces (e.g.</w:t>
      </w:r>
      <w:r>
        <w:t xml:space="preserve"> </w:t>
      </w:r>
      <w:r>
        <w:rPr>
          <w:rStyle w:val="VerbatimChar"/>
        </w:rPr>
        <w:t xml:space="preserve">IJAA_QS_Abaumannii_Manuscript_v1.docx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☐ Word counts and reference numbers on the title page match the contents of the manuscript file.</w:t>
      </w:r>
    </w:p>
    <w:p>
      <w:pPr>
        <w:numPr>
          <w:ilvl w:val="0"/>
          <w:numId w:val="1010"/>
        </w:numPr>
        <w:pStyle w:val="Compact"/>
      </w:pPr>
      <w:r>
        <w:t xml:space="preserve">☐ All in-text citation numbers correspond to entries in the reference list (no orphans).</w:t>
      </w:r>
    </w:p>
    <w:p>
      <w:pPr>
        <w:numPr>
          <w:ilvl w:val="0"/>
          <w:numId w:val="1010"/>
        </w:numPr>
        <w:pStyle w:val="Compact"/>
      </w:pPr>
      <w:r>
        <w:t xml:space="preserve">☐ Spelling and grammar reviewed (UK or US English — choose one and apply consistently).</w:t>
      </w:r>
    </w:p>
    <w:p>
      <w:pPr>
        <w:numPr>
          <w:ilvl w:val="0"/>
          <w:numId w:val="1010"/>
        </w:numPr>
        <w:pStyle w:val="Compact"/>
      </w:pPr>
      <w:r>
        <w:t xml:space="preserve">☐ One nominated author has read the final assembled submission package end-to-end in the order in which an editor will see it (cover letter → title page → manuscript → figures → tables → supplements).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Sign-off</w:t>
      </w:r>
    </w:p>
    <w:p>
      <w:pPr>
        <w:pStyle w:val="BodyText"/>
      </w:pPr>
      <w:r>
        <w:t xml:space="preserve">Corresponding author: _______________________________ Date: ____________</w:t>
      </w:r>
    </w:p>
    <w:p>
      <w:pPr>
        <w:pStyle w:val="BodyText"/>
      </w:pPr>
      <w:r>
        <w:t xml:space="preserve">Senior author: _____________________________________ Date: ____________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editorialmanager.com/ija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editorialmanager.com/ija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2026-05-17T11:04:44Z</dcterms:created>
  <dcterms:modified xsi:type="dcterms:W3CDTF">2026-05-17T11:04:44Z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