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[Author Name]</w:t>
      </w:r>
      <w:r>
        <w:t xml:space="preserve"> </w:t>
      </w:r>
      <w:r>
        <w:t xml:space="preserve">[Affiliation]</w:t>
      </w:r>
      <w:r>
        <w:t xml:space="preserve"> </w:t>
      </w:r>
      <w:r>
        <w:t xml:space="preserve">[Address]</w:t>
      </w:r>
      <w:r>
        <w:t xml:space="preserve"> </w:t>
      </w:r>
      <w:r>
        <w:t xml:space="preserve">[Email]</w:t>
      </w:r>
    </w:p>
    <w:p>
      <w:pPr>
        <w:pStyle w:val="BodyText"/>
      </w:pPr>
      <w:r>
        <w:t xml:space="preserve">17 May 2026</w:t>
      </w:r>
    </w:p>
    <w:p>
      <w:pPr>
        <w:pStyle w:val="BodyText"/>
      </w:pPr>
      <w:r>
        <w:t xml:space="preserve">Editor-in-Chief</w:t>
      </w:r>
      <w:r>
        <w:t xml:space="preserve"> </w:t>
      </w:r>
      <w:r>
        <w:t xml:space="preserve">International Journal of Antimicrobial Agents</w:t>
      </w:r>
      <w:r>
        <w:t xml:space="preserve"> </w:t>
      </w:r>
      <w:r>
        <w:t xml:space="preserve">Elsevier</w:t>
      </w:r>
    </w:p>
    <w:p>
      <w:pPr>
        <w:pStyle w:val="BodyText"/>
      </w:pPr>
      <w:r>
        <w:t xml:space="preserve">Dear Editor,</w:t>
      </w:r>
    </w:p>
    <w:p>
      <w:pPr>
        <w:pStyle w:val="BodyText"/>
      </w:pPr>
      <w:r>
        <w:t xml:space="preserve">We are pleased to submit our manuscript entitled</w:t>
      </w:r>
      <w:r>
        <w:t xml:space="preserve"> </w:t>
      </w:r>
      <w:r>
        <w:rPr>
          <w:bCs/>
          <w:b/>
        </w:rPr>
        <w:t xml:space="preserve">"Quorum Sensing in</w:t>
      </w:r>
      <w:r>
        <w:rPr>
          <w:bCs/>
          <w:b/>
        </w:rPr>
        <w:t xml:space="preserve"> </w:t>
      </w:r>
      <w:r>
        <w:rPr>
          <w:iCs/>
          <w:i/>
          <w:bCs/>
          <w:b/>
        </w:rPr>
        <w:t xml:space="preserve">Acinetobacter baumannii</w:t>
      </w:r>
      <w:r>
        <w:rPr>
          <w:bCs/>
          <w:b/>
        </w:rPr>
        <w:t xml:space="preserve">: Molecular Architecture, Therapeutic Targeting and Translational Horizons — A Systematic Review (2003–2025)"</w:t>
      </w:r>
      <w:r>
        <w:t xml:space="preserve"> </w:t>
      </w:r>
      <w:r>
        <w:t xml:space="preserve">for consideration as a Systematic Review article in the</w:t>
      </w:r>
      <w:r>
        <w:t xml:space="preserve"> </w:t>
      </w:r>
      <w:r>
        <w:rPr>
          <w:iCs/>
          <w:i/>
        </w:rPr>
        <w:t xml:space="preserve">International Journal of Antimicrobial Agents</w:t>
      </w:r>
      <w:r>
        <w:t xml:space="preserve">.</w:t>
      </w:r>
    </w:p>
    <w:p>
      <w:pPr>
        <w:pStyle w:val="BodyText"/>
      </w:pPr>
      <w:r>
        <w:rPr>
          <w:iCs/>
          <w:i/>
        </w:rPr>
        <w:t xml:space="preserve">Acinetobacter baumannii</w:t>
      </w:r>
      <w:r>
        <w:t xml:space="preserve">, and particularly its carbapenem-resistant (CRAB) and extensively drug-resistant phenotypes, sits at the top of the WHO Bacterial Priority Pathogens List and is consistently classed by the United States CDC as an urgent antimicrobial-resistance threat. Pooled crude mortality across ventilator-associated pneumonia, bloodstream and burn-wound infections exceeds 40% and reaches 70% in some intensive care cohorts of patients with carbapenem-resistant disease. The Gram-negative pipeline has narrowed to a handful of agents — cefiderocol, sulbactam-durlobactam, eravacycline — each already eroded by reported resistance within a few years of approval. Anti-virulence strategies that disable bacterial communication without exerting bactericidal selection pressure are therefore an active translational priority, and quorum sensing (QS) has emerged as the most mechanistically tractable target in this organism.</w:t>
      </w:r>
    </w:p>
    <w:p>
      <w:pPr>
        <w:pStyle w:val="BodyText"/>
      </w:pPr>
      <w:r>
        <w:t xml:space="preserve">To our knowledge, this is the first systematic review to integrate mechanistic, intervention, in vivo, clinical and methodological-quality evidence on QS in</w:t>
      </w:r>
      <w:r>
        <w:t xml:space="preserve"> </w:t>
      </w:r>
      <w:r>
        <w:rPr>
          <w:iCs/>
          <w:i/>
        </w:rPr>
        <w:t xml:space="preserve">A. baumannii</w:t>
      </w:r>
      <w:r>
        <w:t xml:space="preserve"> </w:t>
      </w:r>
      <w:r>
        <w:t xml:space="preserve">across a 22-year window (2003–2025), drawing on 340 primary records identified through PubMed/MEDLINE and cross-validated against OpenAlex and Crossref API queries (228 with full-text structured extraction). The review was conducted in accordance with PRISMA 2020, PRISMA-S and SWiM, with a prospectively drafted protocol, design-appropriate risk-of-bias instruments (CRIS, SYRCLE/ARRIVE 2.0, JBI/Newcastle–Ottawa, CHARMS-modified, MIQE/MINSEQE) and a structured evidence-claims database.</w:t>
      </w:r>
    </w:p>
    <w:p>
      <w:pPr>
        <w:pStyle w:val="BodyText"/>
      </w:pPr>
      <w:r>
        <w:t xml:space="preserve">The review's principal findings, framed for the IJAA readership of clinical antimicrobial researchers, infectious-disease specialists and antimicrobial drug developers, are: (i) the</w:t>
      </w:r>
      <w:r>
        <w:t xml:space="preserve"> </w:t>
      </w:r>
      <w:r>
        <w:rPr>
          <w:iCs/>
          <w:i/>
        </w:rPr>
        <w:t xml:space="preserve">abaI</w:t>
      </w:r>
      <w:r>
        <w:t xml:space="preserve">/</w:t>
      </w:r>
      <w:r>
        <w:rPr>
          <w:iCs/>
          <w:i/>
        </w:rPr>
        <w:t xml:space="preserve">abaR</w:t>
      </w:r>
      <w:r>
        <w:t xml:space="preserve"> </w:t>
      </w:r>
      <w:r>
        <w:t xml:space="preserve">axis is the central regulatory module in the</w:t>
      </w:r>
      <w:r>
        <w:t xml:space="preserve"> </w:t>
      </w:r>
      <w:r>
        <w:rPr>
          <w:iCs/>
          <w:i/>
        </w:rPr>
        <w:t xml:space="preserve">A. baumannii</w:t>
      </w:r>
      <w:r>
        <w:t xml:space="preserve"> </w:t>
      </w:r>
      <w:r>
        <w:t xml:space="preserve">QS network and is integrated with BfmRS, AdeRS and PmrAB two-component systems and with c-di-GMP, (p)ppGpp and 3',5'-cAMP nucleotide second messengers; (ii) seven intervention classes — natural products, synthetic small molecules, bacteriophages, nanoparticle-formulated agents, antimicrobial peptides, quorum-quenching enzymes and repurposed FDA-approved drugs — have been characterised, with a marked translational-maturity gradient; (iii) biofilm modulation is the most consistently reported outcome (&gt;75% of corpus), with sub-MIC reductions clustering in the 50–80% range; and (iv) phage cocktails are the most clinically advanced QS-modulating modality, supported by compassionate-use precedent and characterised against contemporary CRAB strains, while no small-molecule QSI has progressed beyond Phase I evaluation. The review concludes that the principal translational bottleneck is no longer target validation but rather formulation, pharmacokinetic characterisation, biomarker validation and standardised reporting — actionable priorities for the antimicrobial development community served by</w:t>
      </w:r>
      <w:r>
        <w:t xml:space="preserve"> </w:t>
      </w:r>
      <w:r>
        <w:rPr>
          <w:iCs/>
          <w:i/>
        </w:rPr>
        <w:t xml:space="preserve">IJAA</w:t>
      </w:r>
      <w:r>
        <w:t xml:space="preserve">.</w:t>
      </w:r>
    </w:p>
    <w:p>
      <w:pPr>
        <w:pStyle w:val="BodyText"/>
      </w:pPr>
      <w:r>
        <w:t xml:space="preserve">We confirm that:</w:t>
      </w:r>
    </w:p>
    <w:p>
      <w:pPr>
        <w:numPr>
          <w:ilvl w:val="0"/>
          <w:numId w:val="1001"/>
        </w:numPr>
        <w:pStyle w:val="Compact"/>
      </w:pPr>
      <w:r>
        <w:t xml:space="preserve">All authors have read and approved the final version of the manuscript.</w:t>
      </w:r>
    </w:p>
    <w:p>
      <w:pPr>
        <w:numPr>
          <w:ilvl w:val="0"/>
          <w:numId w:val="1001"/>
        </w:numPr>
        <w:pStyle w:val="Compact"/>
      </w:pPr>
      <w:r>
        <w:t xml:space="preserve">The manuscript reports original work, has not been published previously in whole or substantial part, and is not under consideration by any other journal.</w:t>
      </w:r>
    </w:p>
    <w:p>
      <w:pPr>
        <w:numPr>
          <w:ilvl w:val="0"/>
          <w:numId w:val="1001"/>
        </w:numPr>
        <w:pStyle w:val="Compact"/>
      </w:pPr>
      <w:r>
        <w:t xml:space="preserve">The work was conducted and reported in accordance with the PRISMA 2020 statement, PRISMA-S extension and SWiM guidance.</w:t>
      </w:r>
    </w:p>
    <w:p>
      <w:pPr>
        <w:numPr>
          <w:ilvl w:val="0"/>
          <w:numId w:val="1001"/>
        </w:numPr>
        <w:pStyle w:val="Compact"/>
      </w:pPr>
      <w:r>
        <w:t xml:space="preserve">A prospectively developed protocol guided this review; PROSPERO registration is [completed under CRD identifier ____ / pending and will be supplied during peer review].</w:t>
      </w:r>
    </w:p>
    <w:p>
      <w:pPr>
        <w:numPr>
          <w:ilvl w:val="0"/>
          <w:numId w:val="1001"/>
        </w:numPr>
        <w:pStyle w:val="Compact"/>
      </w:pPr>
      <w:r>
        <w:t xml:space="preserve">All authors declare [no conflicts of interest / the conflicts of interest detailed on the title page and in their individual ICMJE forms].</w:t>
      </w:r>
    </w:p>
    <w:p>
      <w:pPr>
        <w:numPr>
          <w:ilvl w:val="0"/>
          <w:numId w:val="1001"/>
        </w:numPr>
        <w:pStyle w:val="Compact"/>
      </w:pPr>
      <w:r>
        <w:t xml:space="preserve">Funding sources are acknowledged on the title page and in the manuscript [or: no specific funding was received for this work].</w:t>
      </w:r>
    </w:p>
    <w:p>
      <w:pPr>
        <w:numPr>
          <w:ilvl w:val="0"/>
          <w:numId w:val="1001"/>
        </w:numPr>
        <w:pStyle w:val="Compact"/>
      </w:pPr>
      <w:r>
        <w:t xml:space="preserve">No new patient data were generated; all extracted study-level data are available as Supplementary Materials and via the project's Zenodo deposit.</w:t>
      </w:r>
    </w:p>
    <w:p>
      <w:pPr>
        <w:numPr>
          <w:ilvl w:val="0"/>
          <w:numId w:val="1001"/>
        </w:numPr>
        <w:pStyle w:val="Compact"/>
      </w:pPr>
      <w:r>
        <w:t xml:space="preserve">This work has not been previously posted as a preprint [or: a preprint version has been deposited at ____].</w:t>
      </w:r>
    </w:p>
    <w:p>
      <w:pPr>
        <w:pStyle w:val="FirstParagraph"/>
      </w:pPr>
      <w:r>
        <w:t xml:space="preserve">In line with COPE guidance, we suggest the following independent reviewers with relevant expertise and no recent collaboration with any author:</w:t>
      </w:r>
    </w:p>
    <w:p>
      <w:pPr>
        <w:numPr>
          <w:ilvl w:val="0"/>
          <w:numId w:val="1002"/>
        </w:numPr>
        <w:pStyle w:val="Compact"/>
      </w:pPr>
      <w:r>
        <w:t xml:space="preserve">[Suggested reviewer 1 — Name, affiliation, email]</w:t>
      </w:r>
    </w:p>
    <w:p>
      <w:pPr>
        <w:numPr>
          <w:ilvl w:val="0"/>
          <w:numId w:val="1002"/>
        </w:numPr>
        <w:pStyle w:val="Compact"/>
      </w:pPr>
      <w:r>
        <w:t xml:space="preserve">[Suggested reviewer 2 — Name, affiliation, email]</w:t>
      </w:r>
    </w:p>
    <w:p>
      <w:pPr>
        <w:numPr>
          <w:ilvl w:val="0"/>
          <w:numId w:val="1002"/>
        </w:numPr>
        <w:pStyle w:val="Compact"/>
      </w:pPr>
      <w:r>
        <w:t xml:space="preserve">[Suggested reviewer 3 — Name, affiliation, email]</w:t>
      </w:r>
    </w:p>
    <w:p>
      <w:pPr>
        <w:pStyle w:val="FirstParagraph"/>
      </w:pPr>
      <w:r>
        <w:t xml:space="preserve">We thank you for your consideration of our submission and look forward to engaging with the review process.</w:t>
      </w:r>
    </w:p>
    <w:p>
      <w:pPr>
        <w:pStyle w:val="BodyText"/>
      </w:pPr>
      <w:r>
        <w:t xml:space="preserve">Sincerely,</w:t>
      </w:r>
    </w:p>
    <w:p>
      <w:pPr>
        <w:pStyle w:val="BodyText"/>
      </w:pPr>
      <w:r>
        <w:t xml:space="preserve">[Corresponding author name], on behalf of all authors</w:t>
      </w:r>
      <w:r>
        <w:t xml:space="preserve"> </w:t>
      </w:r>
      <w:r>
        <w:t xml:space="preserve">[Affiliation]</w:t>
      </w:r>
      <w:r>
        <w:t xml:space="preserve"> </w:t>
      </w:r>
      <w:r>
        <w:t xml:space="preserve">[Email] | [ORCID]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2026-05-17T11:04:44Z</dcterms:created>
  <dcterms:modified xsi:type="dcterms:W3CDTF">2026-05-17T11:04:44Z</dcterms:modified>
</cp:coreProperties>
</file>

<file path=docProps/custom.xml><?xml version="1.0" encoding="utf-8"?>
<Properties xmlns="http://schemas.openxmlformats.org/officeDocument/2006/custom-properties" xmlns:vt="http://schemas.openxmlformats.org/officeDocument/2006/docPropsVTypes"/>
</file>