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ata-availability-statement"/>
    <w:p>
      <w:pPr>
        <w:pStyle w:val="Heading1"/>
      </w:pPr>
      <w:r>
        <w:t xml:space="preserve">Data Availability Statement</w:t>
      </w:r>
    </w:p>
    <w:p>
      <w:pPr>
        <w:pStyle w:val="FirstParagraph"/>
      </w:pPr>
      <w:r>
        <w:t xml:space="preserve">This systematic review used only previously published, peer-reviewed literature. No new patient data and no new individual-level human or animal data were generated. All study-level data extracted from the included records, all search strategies, the PRISMA 2020 checklist and the custom analytic code are openly available as described below.</w:t>
      </w:r>
    </w:p>
    <w:bookmarkStart w:id="20" w:name="Xe1558d7c10dd31b1a0005e5dca021fbea6c6caf"/>
    <w:p>
      <w:pPr>
        <w:pStyle w:val="Heading2"/>
      </w:pPr>
      <w:r>
        <w:t xml:space="preserve">Supplementary materials accompanying this article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PRISMA 2020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.docx / 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search strategies for each database (PubMed/MEDLINE, planned Scopus, Web of Science Core Collection, Embase, Cochrane Library) and the OpenAlex/Crossref API calls used for cross-validation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.docx / 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2020 flow data (record counts at every identification, screening, eligibility and inclusion stage; cross-database overlap matrix)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.csv / 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Standardised data-extraction form (bibliographic identifiers, study design, population, intervention, outcomes, risk-of-bias domains, evidence-claim 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.docx / 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Categorised corpus (340 included records with topic, study-design and intervention-class tags)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Evidence-claims database (structured per-study extractions linking quantitative outcomes to source records, with effect sizes, confidence intervals and p-values where reported)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bibliography of included records (n = 340) with DOI, PMID and PMCID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/ .docx / 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shortlist (top records by importance score used in the priority synthesis)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source files (vector SVG and 300 DPI PNG for Figures 1–6) and the Python scripts used to generate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.zip</w:t>
            </w:r>
          </w:p>
        </w:tc>
      </w:tr>
    </w:tbl>
    <w:bookmarkEnd w:id="20"/>
    <w:bookmarkStart w:id="21" w:name="deposited-datasets"/>
    <w:p>
      <w:pPr>
        <w:pStyle w:val="Heading2"/>
      </w:pPr>
      <w:r>
        <w:t xml:space="preserve">Deposited datasets</w:t>
      </w:r>
    </w:p>
    <w:p>
      <w:pPr>
        <w:pStyle w:val="FirstParagraph"/>
      </w:pPr>
      <w:r>
        <w:t xml:space="preserve">All supplementary materials and the analytic code are deposited on Zenodo and will be made openly available at the time of acceptance. The dataset DOI is:</w:t>
      </w:r>
    </w:p>
    <w:p>
      <w:pPr>
        <w:pStyle w:val="BodyText"/>
      </w:pPr>
      <w:r>
        <w:rPr>
          <w:bCs/>
          <w:b/>
        </w:rPr>
        <w:t xml:space="preserve">Zenodo DOI:</w:t>
      </w:r>
      <w:r>
        <w:t xml:space="preserve"> </w:t>
      </w:r>
      <w:r>
        <w:t xml:space="preserve">[10.5281/zenodo.XXXXXXX — to be issued at acceptance]</w:t>
      </w:r>
    </w:p>
    <w:p>
      <w:pPr>
        <w:pStyle w:val="BodyText"/>
      </w:pPr>
      <w:r>
        <w:t xml:space="preserve">The deposit is licensed under Creative Commons Attribution 4.0 International (CC BY 4.0).</w:t>
      </w:r>
    </w:p>
    <w:bookmarkEnd w:id="21"/>
    <w:bookmarkStart w:id="23" w:name="analytic-code"/>
    <w:p>
      <w:pPr>
        <w:pStyle w:val="Heading2"/>
      </w:pPr>
      <w:r>
        <w:t xml:space="preserve">Analytic code</w:t>
      </w:r>
    </w:p>
    <w:p>
      <w:pPr>
        <w:pStyle w:val="FirstParagraph"/>
      </w:pPr>
      <w:r>
        <w:t xml:space="preserve">Custom Python code used for (i) database deduplication, (ii) cross-database overlap analysis, (iii) topic and intervention-class auto-categorisation, (iv) figure generation and (v) evidence-claim aggregation is openly available at:</w:t>
      </w:r>
    </w:p>
    <w:p>
      <w:pPr>
        <w:pStyle w:val="BodyText"/>
      </w:pPr>
      <w:r>
        <w:rPr>
          <w:bCs/>
          <w:b/>
        </w:rPr>
        <w:t xml:space="preserve">Code repository:</w:t>
      </w:r>
      <w:r>
        <w:t xml:space="preserve"> </w:t>
      </w:r>
      <w:r>
        <w:t xml:space="preserve">[</w:t>
      </w:r>
      <w:hyperlink r:id="rId22">
        <w:r>
          <w:rPr>
            <w:rStyle w:val="Hyperlink"/>
          </w:rPr>
          <w:t xml:space="preserve">https://github.com/</w:t>
        </w:r>
      </w:hyperlink>
      <w:r>
        <w:t xml:space="preserve">[organisation]/abaumannii-qs-sr — to be released at acceptance]</w:t>
      </w:r>
    </w:p>
    <w:p>
      <w:pPr>
        <w:pStyle w:val="BodyText"/>
      </w:pPr>
      <w:r>
        <w:t xml:space="preserve">The code is released under the MIT licence. The repository includes a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with environment specification,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listing pinned dependency versions and a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reproducing the analyses end-to-end from the deposited input CSVs.</w:t>
      </w:r>
    </w:p>
    <w:bookmarkEnd w:id="23"/>
    <w:bookmarkStart w:id="24" w:name="statement-on-patient-and-clinical-data"/>
    <w:p>
      <w:pPr>
        <w:pStyle w:val="Heading2"/>
      </w:pPr>
      <w:r>
        <w:t xml:space="preserve">Statement on patient and clinical data</w:t>
      </w:r>
    </w:p>
    <w:p>
      <w:pPr>
        <w:pStyle w:val="FirstParagraph"/>
      </w:pPr>
      <w:r>
        <w:t xml:space="preserve">No primary patient data, identifiable patient information or clinical biospecimens were generated or analysed in this review. All clinical findings discussed in the manuscript are summarised from the relevant peer-reviewed publications cited in the reference list.</w:t>
      </w:r>
    </w:p>
    <w:bookmarkEnd w:id="24"/>
    <w:bookmarkStart w:id="25" w:name="statement-on-artificial-intelligence"/>
    <w:p>
      <w:pPr>
        <w:pStyle w:val="Heading2"/>
      </w:pPr>
      <w:r>
        <w:t xml:space="preserve">Statement on artificial intelligence</w:t>
      </w:r>
    </w:p>
    <w:p>
      <w:pPr>
        <w:pStyle w:val="FirstParagraph"/>
      </w:pPr>
      <w:r>
        <w:t xml:space="preserve">[The authors did not use any generative artificial-intelligence tool for the design, conduct, analysis, or writing of this review. / Where AI-assisted tools were used (specify: e.g. language-model assistance for prose polishing of selected sections), each instance has been disclosed in the Acknowledgements, and the authors take full responsibility for the accuracy and integrity of all content.]</w:t>
      </w:r>
    </w:p>
    <w:bookmarkEnd w:id="25"/>
    <w:bookmarkStart w:id="27" w:name="contact-for-data-requests"/>
    <w:p>
      <w:pPr>
        <w:pStyle w:val="Heading2"/>
      </w:pPr>
      <w:r>
        <w:t xml:space="preserve">Contact for data requests</w:t>
      </w:r>
    </w:p>
    <w:p>
      <w:pPr>
        <w:pStyle w:val="FirstParagraph"/>
      </w:pPr>
      <w:r>
        <w:t xml:space="preserve">Reasonable requests for clarification or for re-use of the deposited data beyond the CC BY 4.0 terms should be addressed to the corresponding author: [</w:t>
      </w:r>
      <w:hyperlink r:id="rId26">
        <w:r>
          <w:rPr>
            <w:rStyle w:val="Hyperlink"/>
          </w:rPr>
          <w:t xml:space="preserve">corresponding.author@institution.edu</w:t>
        </w:r>
      </w:hyperlink>
      <w:r>
        <w:t xml:space="preserve">].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" TargetMode="External" /><Relationship Type="http://schemas.openxmlformats.org/officeDocument/2006/relationships/hyperlink" Id="rId26" Target="mailto:corresponding.author@institution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" TargetMode="External" /><Relationship Type="http://schemas.openxmlformats.org/officeDocument/2006/relationships/hyperlink" Id="rId26" Target="mailto:corresponding.author@institution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2026-05-17T11:04:44Z</dcterms:created>
  <dcterms:modified xsi:type="dcterms:W3CDTF">2026-05-17T11:04:44Z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