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632d01b4f3262fc945d4680a1c13bc36b04f4d"/>
    <w:p>
      <w:pPr>
        <w:pStyle w:val="Heading1"/>
      </w:pPr>
      <w:r>
        <w:t xml:space="preserve">ICMJE Conflict-of-Interest Disclosure — Author Instructions</w:t>
      </w:r>
    </w:p>
    <w:bookmarkStart w:id="20" w:name="purpose"/>
    <w:p>
      <w:pPr>
        <w:pStyle w:val="Heading2"/>
      </w:pPr>
      <w:r>
        <w:t xml:space="preserve">Purpose</w:t>
      </w:r>
    </w:p>
    <w:p>
      <w:pPr>
        <w:pStyle w:val="FirstParagraph"/>
      </w:pPr>
      <w:r>
        <w:t xml:space="preserve">The</w:t>
      </w:r>
      <w:r>
        <w:t xml:space="preserve"> </w:t>
      </w:r>
      <w:r>
        <w:rPr>
          <w:iCs/>
          <w:i/>
        </w:rPr>
        <w:t xml:space="preserve">International Journal of Antimicrobial Agents</w:t>
      </w:r>
      <w:r>
        <w:t xml:space="preserve"> </w:t>
      </w:r>
      <w:r>
        <w:t xml:space="preserve">requires every named author to complete and submit an individual ICMJE Disclosure of Interest form together with the manuscript. This document explains how to complete and return the disclosure forms for this submission.</w:t>
      </w:r>
    </w:p>
    <w:bookmarkEnd w:id="20"/>
    <w:bookmarkStart w:id="22" w:name="where-to-obtain-the-form"/>
    <w:p>
      <w:pPr>
        <w:pStyle w:val="Heading2"/>
      </w:pPr>
      <w:r>
        <w:t xml:space="preserve">Where to obtain the form</w:t>
      </w:r>
    </w:p>
    <w:p>
      <w:pPr>
        <w:numPr>
          <w:ilvl w:val="0"/>
          <w:numId w:val="1001"/>
        </w:numPr>
        <w:pStyle w:val="Compact"/>
      </w:pPr>
      <w:r>
        <w:t xml:space="preserve">The current ICMJE Disclosure form is available at:</w:t>
      </w:r>
      <w:r>
        <w:t xml:space="preserve"> </w:t>
      </w:r>
      <w:hyperlink r:id="rId21">
        <w:r>
          <w:rPr>
            <w:rStyle w:val="Hyperlink"/>
          </w:rPr>
          <w:t xml:space="preserve">https://www.icmje.org/disclosure-of-interest/</w:t>
        </w:r>
      </w:hyperlink>
    </w:p>
    <w:p>
      <w:pPr>
        <w:numPr>
          <w:ilvl w:val="0"/>
          <w:numId w:val="1001"/>
        </w:numPr>
        <w:pStyle w:val="Compact"/>
      </w:pPr>
      <w:r>
        <w:t xml:space="preserve">Use the</w:t>
      </w:r>
      <w:r>
        <w:t xml:space="preserve"> </w:t>
      </w:r>
      <w:r>
        <w:rPr>
          <w:bCs/>
          <w:b/>
        </w:rPr>
        <w:t xml:space="preserve">web-based form</w:t>
      </w:r>
      <w:r>
        <w:t xml:space="preserve"> </w:t>
      </w:r>
      <w:r>
        <w:t xml:space="preserve">(preferred): complete online, download the generated PDF and email it back to the corresponding author.</w:t>
      </w:r>
    </w:p>
    <w:p>
      <w:pPr>
        <w:numPr>
          <w:ilvl w:val="0"/>
          <w:numId w:val="1001"/>
        </w:numPr>
        <w:pStyle w:val="Compact"/>
      </w:pPr>
      <w:r>
        <w:t xml:space="preserve">A downloadable Word/PDF version is also offered on the same page if the web form is unavailable.</w:t>
      </w:r>
    </w:p>
    <w:bookmarkEnd w:id="22"/>
    <w:bookmarkStart w:id="23" w:name="what-each-author-must-disclose"/>
    <w:p>
      <w:pPr>
        <w:pStyle w:val="Heading2"/>
      </w:pPr>
      <w:r>
        <w:t xml:space="preserve">What each author must disclose</w:t>
      </w:r>
    </w:p>
    <w:p>
      <w:pPr>
        <w:pStyle w:val="FirstParagraph"/>
      </w:pPr>
      <w:r>
        <w:t xml:space="preserve">The form asks each author to declare, for the 36 months prior to submission and for any planned activities, the following categories:</w:t>
      </w:r>
    </w:p>
    <w:p>
      <w:pPr>
        <w:numPr>
          <w:ilvl w:val="0"/>
          <w:numId w:val="1002"/>
        </w:numPr>
        <w:pStyle w:val="Compact"/>
      </w:pPr>
      <w:r>
        <w:t xml:space="preserve">All sources of revenue paid (or promised) to the author, broken out by entity (employer, grants, consultancies, royalties, expert testimony, lectures, etc.).</w:t>
      </w:r>
    </w:p>
    <w:p>
      <w:pPr>
        <w:numPr>
          <w:ilvl w:val="0"/>
          <w:numId w:val="1002"/>
        </w:numPr>
        <w:pStyle w:val="Compact"/>
      </w:pPr>
      <w:r>
        <w:t xml:space="preserve">All sources of revenue with monetary value paid to the author's institution that knowingly support the present work.</w:t>
      </w:r>
    </w:p>
    <w:p>
      <w:pPr>
        <w:numPr>
          <w:ilvl w:val="0"/>
          <w:numId w:val="1002"/>
        </w:numPr>
        <w:pStyle w:val="Compact"/>
      </w:pPr>
      <w:r>
        <w:t xml:space="preserve">Any financial interest with non-monetary value (e.g. stocks, stock options, board positions) in entities that could be perceived as benefiting from the publication of the work.</w:t>
      </w:r>
    </w:p>
    <w:p>
      <w:pPr>
        <w:numPr>
          <w:ilvl w:val="0"/>
          <w:numId w:val="1002"/>
        </w:numPr>
        <w:pStyle w:val="Compact"/>
      </w:pPr>
      <w:r>
        <w:t xml:space="preserve">Any patents planned, pending or issued that are broadly relevant to the work.</w:t>
      </w:r>
    </w:p>
    <w:p>
      <w:pPr>
        <w:numPr>
          <w:ilvl w:val="0"/>
          <w:numId w:val="1002"/>
        </w:numPr>
        <w:pStyle w:val="Compact"/>
      </w:pPr>
      <w:r>
        <w:t xml:space="preserve">Any leadership or fiduciary role (paid or unpaid) in an organisation relevant to the work.</w:t>
      </w:r>
    </w:p>
    <w:p>
      <w:pPr>
        <w:numPr>
          <w:ilvl w:val="0"/>
          <w:numId w:val="1002"/>
        </w:numPr>
        <w:pStyle w:val="Compact"/>
      </w:pPr>
      <w:r>
        <w:t xml:space="preserve">Any other relationships, conditions or circumstances that present a potential conflict of interest.</w:t>
      </w:r>
    </w:p>
    <w:p>
      <w:pPr>
        <w:pStyle w:val="FirstParagraph"/>
      </w:pPr>
      <w:r>
        <w:t xml:space="preserve">If an author has nothing to disclose in a given section, they must explicitly tick the "Nothing to disclose" option — leaving the section blank will be treated as an incomplete form by Elsevier's editorial office.</w:t>
      </w:r>
    </w:p>
    <w:bookmarkEnd w:id="23"/>
    <w:bookmarkStart w:id="24" w:name="instructions-for-this-submission"/>
    <w:p>
      <w:pPr>
        <w:pStyle w:val="Heading2"/>
      </w:pPr>
      <w:r>
        <w:t xml:space="preserve">Instructions for this submission</w:t>
      </w:r>
    </w:p>
    <w:p>
      <w:pPr>
        <w:numPr>
          <w:ilvl w:val="0"/>
          <w:numId w:val="1003"/>
        </w:numPr>
        <w:pStyle w:val="Compact"/>
      </w:pPr>
      <w:r>
        <w:rPr>
          <w:bCs/>
          <w:b/>
        </w:rPr>
        <w:t xml:space="preserve">Corresponding author</w:t>
      </w:r>
      <w:r>
        <w:t xml:space="preserve"> </w:t>
      </w:r>
      <w:r>
        <w:t xml:space="preserve">— circulate this document and the ICMJE form link to every co-author at least two weeks before the planned submission date. Provide each co-author with the full submitted manuscript title and the name of the journal so that the form's metadata fields are completed identically across all forms.</w:t>
      </w:r>
    </w:p>
    <w:p>
      <w:pPr>
        <w:numPr>
          <w:ilvl w:val="0"/>
          <w:numId w:val="1003"/>
        </w:numPr>
        <w:pStyle w:val="Compact"/>
      </w:pPr>
      <w:r>
        <w:rPr>
          <w:bCs/>
          <w:b/>
        </w:rPr>
        <w:t xml:space="preserve">Each co-author</w:t>
      </w:r>
      <w:r>
        <w:t xml:space="preserve"> </w:t>
      </w:r>
      <w:r>
        <w:t xml:space="preserve">— complete the ICMJE form online, download the generated PDF, sign electronically (or by hand) and email the signed PDF to the corresponding author. Retain a personal copy.</w:t>
      </w:r>
    </w:p>
    <w:p>
      <w:pPr>
        <w:numPr>
          <w:ilvl w:val="0"/>
          <w:numId w:val="1003"/>
        </w:numPr>
        <w:pStyle w:val="Compact"/>
      </w:pPr>
      <w:r>
        <w:rPr>
          <w:bCs/>
          <w:b/>
        </w:rPr>
        <w:t xml:space="preserve">Corresponding author</w:t>
      </w:r>
      <w:r>
        <w:t xml:space="preserve"> </w:t>
      </w:r>
      <w:r>
        <w:t xml:space="preserve">— collect all signed PDFs and verify that:</w:t>
      </w:r>
    </w:p>
    <w:p>
      <w:pPr>
        <w:numPr>
          <w:ilvl w:val="1"/>
          <w:numId w:val="1004"/>
        </w:numPr>
        <w:pStyle w:val="Compact"/>
      </w:pPr>
      <w:r>
        <w:t xml:space="preserve">Author names exactly match the names on the title page.</w:t>
      </w:r>
    </w:p>
    <w:p>
      <w:pPr>
        <w:numPr>
          <w:ilvl w:val="1"/>
          <w:numId w:val="1004"/>
        </w:numPr>
        <w:pStyle w:val="Compact"/>
      </w:pPr>
      <w:r>
        <w:t xml:space="preserve">The manuscript title on each form matches the submitted title.</w:t>
      </w:r>
    </w:p>
    <w:p>
      <w:pPr>
        <w:numPr>
          <w:ilvl w:val="1"/>
          <w:numId w:val="1004"/>
        </w:numPr>
        <w:pStyle w:val="Compact"/>
      </w:pPr>
      <w:r>
        <w:t xml:space="preserve">"Nothing to disclose" is explicitly indicated where applicable.</w:t>
      </w:r>
    </w:p>
    <w:p>
      <w:pPr>
        <w:numPr>
          <w:ilvl w:val="0"/>
          <w:numId w:val="1003"/>
        </w:numPr>
        <w:pStyle w:val="Compact"/>
      </w:pPr>
      <w:r>
        <w:rPr>
          <w:bCs/>
          <w:b/>
        </w:rPr>
        <w:t xml:space="preserve">Submission packaging</w:t>
      </w:r>
      <w:r>
        <w:t xml:space="preserve"> </w:t>
      </w:r>
      <w:r>
        <w:t xml:space="preserve">— upload each ICMJE form as a separate file ("Disclosure of Interest") in Editorial Manager. Do not concatenate multiple authors' forms into one PDF.</w:t>
      </w:r>
    </w:p>
    <w:p>
      <w:pPr>
        <w:numPr>
          <w:ilvl w:val="0"/>
          <w:numId w:val="1003"/>
        </w:numPr>
        <w:pStyle w:val="Compact"/>
      </w:pPr>
      <w:r>
        <w:rPr>
          <w:bCs/>
          <w:b/>
        </w:rPr>
        <w:t xml:space="preserve">Public disclosure</w:t>
      </w:r>
      <w:r>
        <w:t xml:space="preserve"> </w:t>
      </w:r>
      <w:r>
        <w:t xml:space="preserve">— the wording used in the manuscript's "Conflicts of interest" statement on the title page must be consistent with the aggregated content of the individual ICMJE forms. Any discrepancy (e.g. an undisclosed consultancy on a single form) will be queried by the editorial office.</w:t>
      </w:r>
    </w:p>
    <w:bookmarkEnd w:id="24"/>
    <w:bookmarkStart w:id="25" w:name="deadline"/>
    <w:p>
      <w:pPr>
        <w:pStyle w:val="Heading2"/>
      </w:pPr>
      <w:r>
        <w:t xml:space="preserve">Deadline</w:t>
      </w:r>
    </w:p>
    <w:p>
      <w:pPr>
        <w:pStyle w:val="FirstParagraph"/>
      </w:pPr>
      <w:r>
        <w:t xml:space="preserve">All ICMJE forms must be in the corresponding author's inbox</w:t>
      </w:r>
      <w:r>
        <w:t xml:space="preserve"> </w:t>
      </w:r>
      <w:r>
        <w:rPr>
          <w:bCs/>
          <w:b/>
        </w:rPr>
        <w:t xml:space="preserve">at least 48 hours before submission</w:t>
      </w:r>
      <w:r>
        <w:t xml:space="preserve"> </w:t>
      </w:r>
      <w:r>
        <w:t xml:space="preserve">to allow time for any clarification or rework. Submissions to</w:t>
      </w:r>
      <w:r>
        <w:t xml:space="preserve"> </w:t>
      </w:r>
      <w:r>
        <w:rPr>
          <w:iCs/>
          <w:i/>
        </w:rPr>
        <w:t xml:space="preserve">IJAA</w:t>
      </w:r>
      <w:r>
        <w:t xml:space="preserve"> </w:t>
      </w:r>
      <w:r>
        <w:t xml:space="preserve">without complete ICMJE forms for every named author are rejected without external review.</w:t>
      </w:r>
    </w:p>
    <w:bookmarkEnd w:id="25"/>
    <w:bookmarkStart w:id="26" w:name="updates-during-peer-review"/>
    <w:p>
      <w:pPr>
        <w:pStyle w:val="Heading2"/>
      </w:pPr>
      <w:r>
        <w:t xml:space="preserve">Updates during peer review</w:t>
      </w:r>
    </w:p>
    <w:p>
      <w:pPr>
        <w:pStyle w:val="FirstParagraph"/>
      </w:pPr>
      <w:r>
        <w:t xml:space="preserve">If any author's conflicts of interest change between submission and acceptance (e.g. a new consultancy contract is signed, or a relevant patent is granted), the corresponding author must inform the editorial office in writing and submit revised ICMJE forms for the affected authors.</w:t>
      </w:r>
    </w:p>
    <w:bookmarkEnd w:id="26"/>
    <w:bookmarkStart w:id="29" w:name="help-and-queries"/>
    <w:p>
      <w:pPr>
        <w:pStyle w:val="Heading2"/>
      </w:pPr>
      <w:r>
        <w:t xml:space="preserve">Help and queries</w:t>
      </w:r>
    </w:p>
    <w:p>
      <w:pPr>
        <w:numPr>
          <w:ilvl w:val="0"/>
          <w:numId w:val="1005"/>
        </w:numPr>
        <w:pStyle w:val="Compact"/>
      </w:pPr>
      <w:r>
        <w:t xml:space="preserve">ICMJE help:</w:t>
      </w:r>
      <w:r>
        <w:t xml:space="preserve"> </w:t>
      </w:r>
      <w:hyperlink r:id="rId27">
        <w:r>
          <w:rPr>
            <w:rStyle w:val="Hyperlink"/>
          </w:rPr>
          <w:t xml:space="preserve">https://www.icmje.org/conflicts-of-interest/</w:t>
        </w:r>
      </w:hyperlink>
    </w:p>
    <w:p>
      <w:pPr>
        <w:numPr>
          <w:ilvl w:val="0"/>
          <w:numId w:val="1005"/>
        </w:numPr>
        <w:pStyle w:val="Compact"/>
      </w:pPr>
      <w:r>
        <w:t xml:space="preserve">IJAA editorial office contact: as listed on the journal homepage at the time of submission.</w:t>
      </w:r>
    </w:p>
    <w:p>
      <w:pPr>
        <w:numPr>
          <w:ilvl w:val="0"/>
          <w:numId w:val="1005"/>
        </w:numPr>
        <w:pStyle w:val="Compact"/>
      </w:pPr>
      <w:r>
        <w:t xml:space="preserve">For local queries about this manuscript, contact the corresponding author: [</w:t>
      </w:r>
      <w:hyperlink r:id="rId28">
        <w:r>
          <w:rPr>
            <w:rStyle w:val="Hyperlink"/>
          </w:rPr>
          <w:t xml:space="preserve">corresponding.author@institution.edu</w:t>
        </w:r>
      </w:hyperlink>
      <w: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www.icmje.org/conflicts-of-interest/" TargetMode="External" /><Relationship Type="http://schemas.openxmlformats.org/officeDocument/2006/relationships/hyperlink" Id="rId21" Target="https://www.icmje.org/disclosure-of-interest/" TargetMode="External" /><Relationship Type="http://schemas.openxmlformats.org/officeDocument/2006/relationships/hyperlink" Id="rId28" Target="mailto:corresponding.author@institution.edu" TargetMode="External" /></Relationships>
</file>

<file path=word/_rels/footnotes.xml.rels><?xml version="1.0" encoding="UTF-8"?><Relationships xmlns="http://schemas.openxmlformats.org/package/2006/relationships"><Relationship Type="http://schemas.openxmlformats.org/officeDocument/2006/relationships/hyperlink" Id="rId27" Target="https://www.icmje.org/conflicts-of-interest/" TargetMode="External" /><Relationship Type="http://schemas.openxmlformats.org/officeDocument/2006/relationships/hyperlink" Id="rId21" Target="https://www.icmje.org/disclosure-of-interest/" TargetMode="External" /><Relationship Type="http://schemas.openxmlformats.org/officeDocument/2006/relationships/hyperlink" Id="rId28" Target="mailto:corresponding.author@institutio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2026-05-17T11:04:45Z</dcterms:created>
  <dcterms:modified xsi:type="dcterms:W3CDTF">2026-05-17T11:04:45Z</dcterms:modified>
</cp:coreProperties>
</file>

<file path=docProps/custom.xml><?xml version="1.0" encoding="utf-8"?>
<Properties xmlns="http://schemas.openxmlformats.org/officeDocument/2006/custom-properties" xmlns:vt="http://schemas.openxmlformats.org/officeDocument/2006/docPropsVTypes"/>
</file>