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DF" w:rsidRPr="00F83F8B" w:rsidRDefault="008815DF" w:rsidP="008815DF">
      <w:pPr>
        <w:pStyle w:val="sr-CaptionTableIdentifier"/>
        <w:rPr>
          <w:rFonts w:asciiTheme="majorEastAsia" w:hAnsiTheme="majorEastAsia" w:cstheme="majorEastAsia"/>
          <w:vanish/>
          <w:specVanish/>
        </w:rPr>
      </w:pPr>
      <w:r w:rsidRPr="00F83F8B">
        <w:t xml:space="preserve">Table </w:t>
      </w:r>
      <w:r w:rsidRPr="00F83F8B">
        <w:fldChar w:fldCharType="begin"/>
      </w:r>
      <w:r w:rsidRPr="00F83F8B">
        <w:instrText xml:space="preserve"> SEQ Table \* ARABIC </w:instrText>
      </w:r>
      <w:r w:rsidRPr="00F83F8B">
        <w:fldChar w:fldCharType="separate"/>
      </w:r>
      <w:r>
        <w:rPr>
          <w:noProof/>
        </w:rPr>
        <w:t>4</w:t>
      </w:r>
      <w:r w:rsidRPr="00F83F8B">
        <w:fldChar w:fldCharType="end"/>
      </w:r>
      <w:r w:rsidRPr="00F83F8B">
        <w:t>—</w:t>
      </w:r>
    </w:p>
    <w:p w:rsidR="008815DF" w:rsidRPr="00F83F8B" w:rsidRDefault="008815DF" w:rsidP="008815DF">
      <w:pPr>
        <w:pStyle w:val="sr-CaptionTable"/>
        <w:rPr>
          <w:rFonts w:eastAsiaTheme="majorEastAsia"/>
        </w:rPr>
      </w:pPr>
      <w:r>
        <w:rPr>
          <w:rFonts w:asciiTheme="majorEastAsia" w:eastAsiaTheme="majorEastAsia" w:hAnsiTheme="majorEastAsia" w:cstheme="majorEastAsia"/>
        </w:rPr>
        <w:t xml:space="preserve">effect of civic education on political interest </w:t>
      </w:r>
    </w:p>
    <w:tbl>
      <w:tblPr>
        <w:tblW w:w="448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152"/>
        <w:gridCol w:w="833"/>
        <w:gridCol w:w="212"/>
        <w:gridCol w:w="981"/>
        <w:gridCol w:w="813"/>
        <w:gridCol w:w="212"/>
      </w:tblGrid>
      <w:tr w:rsidR="008815DF" w:rsidRPr="00F83F8B" w:rsidTr="008815DF">
        <w:trPr>
          <w:trHeight w:val="220"/>
          <w:jc w:val="center"/>
        </w:trPr>
        <w:tc>
          <w:tcPr>
            <w:tcW w:w="33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Political interest</w:t>
            </w:r>
          </w:p>
        </w:tc>
        <w:tc>
          <w:tcPr>
            <w:tcW w:w="20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 gender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Sample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4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Treatment effect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6"/>
                    </w:rPr>
                    <m:t>ACR</m:t>
                  </m:r>
                </m:sup>
              </m:sSup>
            </m:oMath>
            <w:r w:rsidRPr="00F83F8B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Civic education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-0.097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-0.144**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-0.059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(0.067)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(0.063)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(0.141)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3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 squared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190694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98294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92391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1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Outcome descriptive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F83F8B" w:rsidTr="008815DF">
        <w:trPr>
          <w:trHeight w:val="210"/>
          <w:jc w:val="center"/>
        </w:trPr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F83F8B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83F8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8815DF" w:rsidRPr="00F83F8B" w:rsidRDefault="008815DF" w:rsidP="008815DF">
      <w:pPr>
        <w:pStyle w:val="sr-Notesbelowtable"/>
      </w:pPr>
      <w:r w:rsidRPr="00F83F8B">
        <w:rPr>
          <w:rFonts w:asciiTheme="majorEastAsia" w:eastAsiaTheme="majorEastAsia" w:hAnsiTheme="majorEastAsia" w:cstheme="majorEastAsia"/>
          <w:i/>
          <w:iCs/>
        </w:rPr>
        <w:t>Notes</w:t>
      </w:r>
      <w:r w:rsidRPr="00F83F8B">
        <w:rPr>
          <w:rFonts w:asciiTheme="majorEastAsia" w:eastAsiaTheme="majorEastAsia" w:hAnsiTheme="majorEastAsia" w:cstheme="majorEastAsia"/>
        </w:rPr>
        <w:t xml:space="preserve">: </w:t>
      </w:r>
      <w:r>
        <w:rPr>
          <w:rFonts w:asciiTheme="majorEastAsia" w:eastAsiaTheme="majorEastAsia" w:hAnsiTheme="majorEastAsia" w:cstheme="majorEastAsia"/>
        </w:rPr>
        <w:t>This table presents the heterogeneity-robust DID estimates for the effect of civic education on political interest</w:t>
      </w:r>
      <w:r>
        <w:rPr>
          <w:rFonts w:asciiTheme="majorEastAsia" w:eastAsiaTheme="majorEastAsia" w:hAnsiTheme="majorEastAsia" w:cstheme="majorEastAsia"/>
        </w:rPr>
        <w:t>.</w:t>
      </w:r>
      <w:r>
        <w:rPr>
          <w:rFonts w:asciiTheme="majorEastAsia" w:eastAsiaTheme="majorEastAsia" w:hAnsiTheme="majorEastAsia" w:cstheme="majorEastAsia"/>
        </w:rPr>
        <w:t xml:space="preserve"> Standard errors are clustered at the state-school type level.  </w:t>
      </w:r>
      <w:r w:rsidRPr="00F83F8B">
        <w:rPr>
          <w:rFonts w:asciiTheme="majorEastAsia" w:eastAsiaTheme="majorEastAsia" w:hAnsiTheme="majorEastAsia" w:cstheme="majorEastAsia"/>
        </w:rPr>
        <w:t>Data</w:t>
      </w:r>
      <w:r>
        <w:rPr>
          <w:rFonts w:asciiTheme="majorEastAsia" w:eastAsiaTheme="majorEastAsia" w:hAnsiTheme="majorEastAsia" w:cstheme="majorEastAsia"/>
        </w:rPr>
        <w:t xml:space="preserve"> set</w:t>
      </w:r>
      <w:r w:rsidRPr="00F83F8B">
        <w:rPr>
          <w:rFonts w:asciiTheme="majorEastAsia" w:eastAsiaTheme="majorEastAsia" w:hAnsiTheme="majorEastAsia" w:cstheme="majorEastAsia"/>
        </w:rPr>
        <w:t>: SOEP.</w:t>
      </w:r>
    </w:p>
    <w:p w:rsidR="00DE7AFF" w:rsidRDefault="008815DF" w:rsidP="008815DF">
      <w:pPr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</w:pPr>
      <w:r w:rsidRPr="008815DF"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  <w:t>*** Significant at the 1 percent level.</w:t>
      </w:r>
      <w:r w:rsidRPr="008815DF"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  <w:br/>
        <w:t xml:space="preserve">  ** Significant at the 5 percent level.</w:t>
      </w:r>
      <w:r w:rsidRPr="008815DF"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  <w:br/>
        <w:t xml:space="preserve">    * Significant at the 10 percent level.</w:t>
      </w:r>
    </w:p>
    <w:p w:rsidR="008815DF" w:rsidRDefault="008815DF" w:rsidP="008815DF">
      <w:pPr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</w:pPr>
    </w:p>
    <w:p w:rsidR="008815DF" w:rsidRPr="00F83F8B" w:rsidRDefault="008815DF" w:rsidP="008815DF">
      <w:pPr>
        <w:pStyle w:val="sr-CaptionTableIdentifier"/>
        <w:rPr>
          <w:rFonts w:asciiTheme="majorEastAsia" w:hAnsiTheme="majorEastAsia" w:cstheme="majorEastAsia"/>
          <w:vanish/>
          <w:specVanish/>
        </w:rPr>
      </w:pPr>
      <w:r w:rsidRPr="00F83F8B">
        <w:t xml:space="preserve">Table </w:t>
      </w:r>
      <w:r w:rsidRPr="00F83F8B">
        <w:fldChar w:fldCharType="begin"/>
      </w:r>
      <w:r w:rsidRPr="00F83F8B">
        <w:instrText xml:space="preserve"> SEQ Table \* ARABIC </w:instrText>
      </w:r>
      <w:r w:rsidRPr="00F83F8B">
        <w:fldChar w:fldCharType="separate"/>
      </w:r>
      <w:r>
        <w:rPr>
          <w:noProof/>
        </w:rPr>
        <w:t>5</w:t>
      </w:r>
      <w:r w:rsidRPr="00F83F8B">
        <w:fldChar w:fldCharType="end"/>
      </w:r>
      <w:r w:rsidRPr="00F83F8B">
        <w:t>—</w:t>
      </w:r>
    </w:p>
    <w:p w:rsidR="008815DF" w:rsidRPr="00F83F8B" w:rsidRDefault="008815DF" w:rsidP="008815DF">
      <w:pPr>
        <w:pStyle w:val="sr-CaptionTable"/>
        <w:rPr>
          <w:rFonts w:eastAsiaTheme="majorEastAsia"/>
        </w:rPr>
      </w:pPr>
      <w:r w:rsidRPr="00F83F8B">
        <w:rPr>
          <w:rFonts w:eastAsiaTheme="majorEastAsia"/>
        </w:rPr>
        <w:t>effect of Civic Education on Political Preferences (Left</w:t>
      </w:r>
      <m:oMath>
        <m:r>
          <w:rPr>
            <w:rFonts w:ascii="Cambria Math" w:eastAsiaTheme="majorEastAsia" w:hAnsi="Cambria Math"/>
          </w:rPr>
          <m:t>→</m:t>
        </m:r>
      </m:oMath>
      <w:r w:rsidRPr="00F83F8B">
        <w:rPr>
          <w:rFonts w:eastAsiaTheme="majorEastAsia"/>
        </w:rPr>
        <w:t>Right)</w:t>
      </w:r>
    </w:p>
    <w:tbl>
      <w:tblPr>
        <w:tblW w:w="45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1382"/>
        <w:gridCol w:w="686"/>
        <w:gridCol w:w="197"/>
        <w:gridCol w:w="1124"/>
        <w:gridCol w:w="817"/>
      </w:tblGrid>
      <w:tr w:rsidR="008815DF" w:rsidRPr="00B07C55" w:rsidTr="00BF46CE">
        <w:trPr>
          <w:trHeight w:val="220"/>
          <w:jc w:val="center"/>
        </w:trPr>
        <w:tc>
          <w:tcPr>
            <w:tcW w:w="3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5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Political preference (left(-5</w:t>
            </w: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) -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right(5</w:t>
            </w: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))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Full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By gender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Sample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Treatment effect (Average causal response)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Civic education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-0.204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-0.490***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0.440*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(0.131)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(0.136)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(0.230)</w:t>
            </w:r>
          </w:p>
        </w:tc>
      </w:tr>
      <w:tr w:rsidR="008815DF" w:rsidRPr="00B07C55" w:rsidTr="00BF46CE">
        <w:trPr>
          <w:trHeight w:val="3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 squared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30369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15728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14611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Outcome descriptives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-0.34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-0.50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-0.17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1.69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</w:tr>
      <w:tr w:rsidR="008815DF" w:rsidRPr="00B07C55" w:rsidTr="00BF46CE">
        <w:trPr>
          <w:trHeight w:val="210"/>
          <w:jc w:val="center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5DF" w:rsidRPr="00B07C55" w:rsidRDefault="008815DF" w:rsidP="00BF46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07C5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</w:tbl>
    <w:p w:rsidR="008815DF" w:rsidRPr="00F83F8B" w:rsidRDefault="008815DF" w:rsidP="008815DF">
      <w:pPr>
        <w:pStyle w:val="sr-Notesbelowtable"/>
      </w:pPr>
      <w:r w:rsidRPr="00F83F8B">
        <w:rPr>
          <w:rFonts w:asciiTheme="majorEastAsia" w:eastAsiaTheme="majorEastAsia" w:hAnsiTheme="majorEastAsia" w:cstheme="majorEastAsia"/>
          <w:i/>
          <w:iCs/>
        </w:rPr>
        <w:t>Notes</w:t>
      </w:r>
      <w:r w:rsidRPr="00F83F8B">
        <w:rPr>
          <w:rFonts w:asciiTheme="majorEastAsia" w:eastAsiaTheme="majorEastAsia" w:hAnsiTheme="majorEastAsia" w:cstheme="majorEastAsia"/>
        </w:rPr>
        <w:t xml:space="preserve">: </w:t>
      </w:r>
      <w:r>
        <w:rPr>
          <w:rFonts w:asciiTheme="majorEastAsia" w:eastAsiaTheme="majorEastAsia" w:hAnsiTheme="majorEastAsia" w:cstheme="majorEastAsia"/>
        </w:rPr>
        <w:t>This table presents the heterogeneity-robust DID estimates for the effect of civic education on</w:t>
      </w:r>
      <w:r>
        <w:rPr>
          <w:rFonts w:asciiTheme="majorEastAsia" w:eastAsiaTheme="majorEastAsia" w:hAnsiTheme="majorEastAsia" w:cstheme="majorEastAsia"/>
        </w:rPr>
        <w:t xml:space="preserve"> political preferences</w:t>
      </w:r>
      <w:r>
        <w:rPr>
          <w:rFonts w:asciiTheme="majorEastAsia" w:eastAsiaTheme="majorEastAsia" w:hAnsiTheme="majorEastAsia" w:cstheme="majorEastAsia"/>
        </w:rPr>
        <w:t xml:space="preserve">.  Standard errors are clustered at the state-school type level.  </w:t>
      </w:r>
      <w:r w:rsidRPr="00F83F8B">
        <w:rPr>
          <w:rFonts w:asciiTheme="majorEastAsia" w:eastAsiaTheme="majorEastAsia" w:hAnsiTheme="majorEastAsia" w:cstheme="majorEastAsia"/>
        </w:rPr>
        <w:t>Data</w:t>
      </w:r>
      <w:r>
        <w:rPr>
          <w:rFonts w:asciiTheme="majorEastAsia" w:eastAsiaTheme="majorEastAsia" w:hAnsiTheme="majorEastAsia" w:cstheme="majorEastAsia"/>
        </w:rPr>
        <w:t xml:space="preserve"> set</w:t>
      </w:r>
      <w:r w:rsidRPr="00F83F8B">
        <w:rPr>
          <w:rFonts w:asciiTheme="majorEastAsia" w:eastAsiaTheme="majorEastAsia" w:hAnsiTheme="majorEastAsia" w:cstheme="majorEastAsia"/>
        </w:rPr>
        <w:t>: SOEP.</w:t>
      </w:r>
    </w:p>
    <w:p w:rsidR="008815DF" w:rsidRDefault="008815DF" w:rsidP="008815DF">
      <w:pPr>
        <w:pStyle w:val="sr-Notesbelowtable-significance"/>
      </w:pPr>
      <w:r w:rsidRPr="00F83F8B">
        <w:t>*** Significant at the 1 percent level.</w:t>
      </w:r>
      <w:r w:rsidRPr="00F83F8B">
        <w:br/>
        <w:t xml:space="preserve">  ** Significant at the 5 percent level.</w:t>
      </w:r>
      <w:r w:rsidRPr="00F83F8B">
        <w:br/>
        <w:t xml:space="preserve">    * Signi</w:t>
      </w:r>
      <w:r>
        <w:t>ficant at the 10 percent level.</w:t>
      </w:r>
    </w:p>
    <w:p w:rsidR="008815DF" w:rsidRPr="008815DF" w:rsidRDefault="008815DF" w:rsidP="008815DF">
      <w:pPr>
        <w:rPr>
          <w:rFonts w:asciiTheme="majorEastAsia" w:eastAsiaTheme="majorEastAsia" w:hAnsiTheme="majorEastAsia" w:cstheme="majorEastAsia"/>
          <w:bCs/>
          <w:color w:val="000000" w:themeColor="text1"/>
          <w:sz w:val="16"/>
          <w:szCs w:val="18"/>
          <w:lang w:eastAsia="en-US"/>
        </w:rPr>
      </w:pPr>
      <w:bookmarkStart w:id="0" w:name="_GoBack"/>
      <w:bookmarkEnd w:id="0"/>
    </w:p>
    <w:sectPr w:rsidR="008815DF" w:rsidRPr="008815DF" w:rsidSect="009C6B37">
      <w:footnotePr>
        <w:numRestart w:val="eachPage"/>
      </w:footnotePr>
      <w:pgSz w:w="11907" w:h="16840" w:code="9"/>
      <w:pgMar w:top="2070" w:right="1701" w:bottom="1701" w:left="1701" w:header="113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Serif Pro Semibold">
    <w:panose1 w:val="02040703050405020204"/>
    <w:charset w:val="00"/>
    <w:family w:val="roman"/>
    <w:pitch w:val="variable"/>
    <w:sig w:usb0="00000007" w:usb1="00000001" w:usb2="00000000" w:usb3="00000000" w:csb0="00000093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DF"/>
    <w:rsid w:val="000C4D3D"/>
    <w:rsid w:val="00271F38"/>
    <w:rsid w:val="002729D1"/>
    <w:rsid w:val="006D5DC0"/>
    <w:rsid w:val="008815DF"/>
    <w:rsid w:val="008A136C"/>
    <w:rsid w:val="00983476"/>
    <w:rsid w:val="009C6B37"/>
    <w:rsid w:val="00A90D6C"/>
    <w:rsid w:val="00BF02C4"/>
    <w:rsid w:val="00CD46EA"/>
    <w:rsid w:val="00DE7AFF"/>
    <w:rsid w:val="00E85172"/>
    <w:rsid w:val="00F0406D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8AAF78"/>
  <w15:chartTrackingRefBased/>
  <w15:docId w15:val="{72D0DF68-741E-4846-823A-47C03702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5"/>
    <w:rsid w:val="008815DF"/>
    <w:pPr>
      <w:spacing w:after="200" w:line="276" w:lineRule="auto"/>
    </w:pPr>
    <w:rPr>
      <w:rFonts w:asciiTheme="minorHAnsi" w:hAnsiTheme="minorHAnsi" w:cstheme="minorHAnsi"/>
      <w:sz w:val="22"/>
      <w:szCs w:val="22"/>
      <w:lang w:val="en-US"/>
    </w:rPr>
  </w:style>
  <w:style w:type="paragraph" w:styleId="berschrift1">
    <w:name w:val="heading 1"/>
    <w:basedOn w:val="Standard"/>
    <w:next w:val="Standard"/>
    <w:qFormat/>
    <w:rsid w:val="000C4D3D"/>
    <w:pPr>
      <w:keepNext/>
      <w:spacing w:before="240" w:after="60"/>
      <w:outlineLvl w:val="0"/>
    </w:pPr>
    <w:rPr>
      <w:rFonts w:ascii="Source Serif Pro Semibold" w:hAnsi="Source Serif Pro Semibold"/>
      <w:color w:val="0D4080"/>
      <w:sz w:val="36"/>
    </w:rPr>
  </w:style>
  <w:style w:type="paragraph" w:styleId="berschrift2">
    <w:name w:val="heading 2"/>
    <w:basedOn w:val="Standard"/>
    <w:next w:val="Standard"/>
    <w:qFormat/>
    <w:rsid w:val="000C4D3D"/>
    <w:pPr>
      <w:keepNext/>
      <w:spacing w:before="240" w:after="60"/>
      <w:outlineLvl w:val="1"/>
    </w:pPr>
    <w:rPr>
      <w:rFonts w:ascii="Source Serif Pro Semibold" w:hAnsi="Source Serif Pro Semibold"/>
      <w:sz w:val="31"/>
    </w:rPr>
  </w:style>
  <w:style w:type="paragraph" w:styleId="berschrift3">
    <w:name w:val="heading 3"/>
    <w:basedOn w:val="Standard"/>
    <w:next w:val="Standard"/>
    <w:qFormat/>
    <w:rsid w:val="000C4D3D"/>
    <w:pPr>
      <w:keepNext/>
      <w:spacing w:before="240" w:after="60"/>
      <w:outlineLvl w:val="2"/>
    </w:pPr>
    <w:rPr>
      <w:rFonts w:asciiTheme="majorHAnsi" w:hAnsiTheme="majorHAnsi"/>
      <w:sz w:val="26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D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95D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pPr>
      <w:keepLines/>
      <w:spacing w:after="60" w:line="240" w:lineRule="auto"/>
      <w:ind w:left="255" w:hanging="255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KeinLeerraum">
    <w:name w:val="No Spacing"/>
    <w:uiPriority w:val="1"/>
    <w:qFormat/>
    <w:rsid w:val="00A90D6C"/>
    <w:pPr>
      <w:tabs>
        <w:tab w:val="left" w:pos="255"/>
        <w:tab w:val="left" w:pos="482"/>
      </w:tabs>
      <w:jc w:val="both"/>
    </w:pPr>
    <w:rPr>
      <w:rFonts w:asciiTheme="minorHAnsi" w:hAnsiTheme="minorHAnsi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D6C"/>
    <w:rPr>
      <w:rFonts w:asciiTheme="majorHAnsi" w:eastAsiaTheme="majorEastAsia" w:hAnsiTheme="majorHAnsi" w:cstheme="majorBidi"/>
      <w:color w:val="00395D" w:themeColor="accent1" w:themeShade="7F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C4D3D"/>
    <w:pPr>
      <w:spacing w:after="300" w:line="240" w:lineRule="auto"/>
      <w:contextualSpacing/>
    </w:pPr>
    <w:rPr>
      <w:rFonts w:ascii="Source Serif Pro Semibold" w:eastAsiaTheme="majorEastAsia" w:hAnsi="Source Serif Pro Semibold" w:cstheme="majorBidi"/>
      <w:color w:val="0D408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4D3D"/>
    <w:rPr>
      <w:rFonts w:ascii="Source Serif Pro Semibold" w:eastAsiaTheme="majorEastAsia" w:hAnsi="Source Serif Pro Semibold" w:cstheme="majorBidi"/>
      <w:color w:val="0D4080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D6C"/>
    <w:pPr>
      <w:numPr>
        <w:ilvl w:val="1"/>
      </w:numPr>
    </w:pPr>
    <w:rPr>
      <w:rFonts w:asciiTheme="majorHAnsi" w:eastAsiaTheme="majorEastAsia" w:hAnsiTheme="majorHAnsi" w:cstheme="majorBidi"/>
      <w:i/>
      <w:iCs/>
      <w:color w:val="0074BC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D6C"/>
    <w:rPr>
      <w:rFonts w:asciiTheme="majorHAnsi" w:eastAsiaTheme="majorEastAsia" w:hAnsiTheme="majorHAnsi" w:cstheme="majorBidi"/>
      <w:i/>
      <w:iCs/>
      <w:color w:val="0074BC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90D6C"/>
    <w:rPr>
      <w:rFonts w:ascii="Source Serif Pro" w:hAnsi="Source Serif Pro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A90D6C"/>
    <w:rPr>
      <w:rFonts w:ascii="Source Serif Pro" w:hAnsi="Source Serif Pro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0D6C"/>
    <w:rPr>
      <w:rFonts w:ascii="Source Serif Pro" w:hAnsi="Source Serif Pro"/>
      <w:b/>
      <w:bCs/>
      <w:i/>
      <w:iCs/>
      <w:color w:val="0074BC" w:themeColor="accent1"/>
    </w:rPr>
  </w:style>
  <w:style w:type="character" w:styleId="Fett">
    <w:name w:val="Strong"/>
    <w:basedOn w:val="Absatz-Standardschriftart"/>
    <w:uiPriority w:val="22"/>
    <w:qFormat/>
    <w:rsid w:val="00A90D6C"/>
    <w:rPr>
      <w:rFonts w:ascii="Source Serif Pro" w:hAnsi="Source Serif Pro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0D6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90D6C"/>
    <w:rPr>
      <w:rFonts w:asciiTheme="minorHAnsi" w:hAnsiTheme="minorHAnsi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02C4"/>
    <w:pPr>
      <w:pBdr>
        <w:bottom w:val="single" w:sz="4" w:space="4" w:color="0074BC" w:themeColor="accent1"/>
      </w:pBdr>
      <w:spacing w:before="200" w:after="280"/>
      <w:ind w:left="936" w:right="936"/>
    </w:pPr>
    <w:rPr>
      <w:b/>
      <w:bCs/>
      <w:i/>
      <w:iCs/>
      <w:color w:val="0074B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02C4"/>
    <w:rPr>
      <w:rFonts w:asciiTheme="minorHAnsi" w:hAnsiTheme="minorHAnsi"/>
      <w:b/>
      <w:bCs/>
      <w:i/>
      <w:iCs/>
      <w:color w:val="0074BC" w:themeColor="accent1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6EA"/>
    <w:rPr>
      <w:rFonts w:ascii="Tahoma" w:hAnsi="Tahoma" w:cs="Tahoma"/>
      <w:sz w:val="16"/>
      <w:szCs w:val="16"/>
    </w:rPr>
  </w:style>
  <w:style w:type="character" w:styleId="SchwacherVerweis">
    <w:name w:val="Subtle Reference"/>
    <w:basedOn w:val="Absatz-Standardschriftart"/>
    <w:uiPriority w:val="31"/>
    <w:qFormat/>
    <w:rsid w:val="002729D1"/>
    <w:rPr>
      <w:rFonts w:ascii="Source Serif Pro" w:hAnsi="Source Serif Pro"/>
      <w:smallCaps/>
      <w:color w:val="66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729D1"/>
    <w:rPr>
      <w:rFonts w:ascii="Source Serif Pro" w:hAnsi="Source Serif Pro"/>
      <w:b/>
      <w:bCs/>
      <w:smallCaps/>
      <w:color w:val="660000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729D1"/>
    <w:rPr>
      <w:rFonts w:ascii="Source Serif Pro" w:hAnsi="Source Serif Pro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2729D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E7AFF"/>
    <w:pPr>
      <w:spacing w:line="240" w:lineRule="auto"/>
    </w:pPr>
    <w:rPr>
      <w:b/>
      <w:bCs/>
      <w:color w:val="0D4080"/>
      <w:sz w:val="20"/>
      <w:szCs w:val="18"/>
    </w:rPr>
  </w:style>
  <w:style w:type="paragraph" w:customStyle="1" w:styleId="sr-CaptionTable">
    <w:name w:val="sr - Caption (Table)"/>
    <w:basedOn w:val="Beschriftung"/>
    <w:next w:val="Standard"/>
    <w:uiPriority w:val="3"/>
    <w:rsid w:val="008815DF"/>
    <w:pPr>
      <w:keepNext/>
      <w:spacing w:before="300" w:after="100" w:line="180" w:lineRule="exact"/>
      <w:jc w:val="center"/>
    </w:pPr>
    <w:rPr>
      <w:rFonts w:ascii="Times New Roman" w:hAnsi="Times New Roman"/>
      <w:b w:val="0"/>
      <w:smallCaps/>
      <w:color w:val="auto"/>
      <w:sz w:val="16"/>
      <w:lang w:eastAsia="en-US"/>
    </w:rPr>
  </w:style>
  <w:style w:type="paragraph" w:customStyle="1" w:styleId="sr-CaptionTableIdentifier">
    <w:name w:val="sr - Caption (Table Identifier)"/>
    <w:basedOn w:val="sr-CaptionTable"/>
    <w:next w:val="sr-CaptionTable"/>
    <w:uiPriority w:val="3"/>
    <w:qFormat/>
    <w:rsid w:val="008815DF"/>
    <w:rPr>
      <w:rFonts w:eastAsiaTheme="majorEastAsia"/>
    </w:rPr>
  </w:style>
  <w:style w:type="paragraph" w:customStyle="1" w:styleId="sr-Notesbelowtable">
    <w:name w:val="sr - Notes (below table)"/>
    <w:basedOn w:val="Standard"/>
    <w:next w:val="Standard"/>
    <w:uiPriority w:val="3"/>
    <w:qFormat/>
    <w:rsid w:val="008815DF"/>
    <w:pPr>
      <w:keepNext/>
      <w:keepLines/>
      <w:suppressAutoHyphens/>
      <w:spacing w:before="60" w:after="0" w:line="180" w:lineRule="exact"/>
      <w:contextualSpacing/>
      <w:jc w:val="both"/>
    </w:pPr>
    <w:rPr>
      <w:rFonts w:ascii="Times New Roman" w:hAnsi="Times New Roman" w:cs="Times New Roman"/>
      <w:bCs/>
      <w:color w:val="000000" w:themeColor="text1"/>
      <w:sz w:val="16"/>
      <w:szCs w:val="18"/>
      <w:lang w:eastAsia="en-US"/>
    </w:rPr>
  </w:style>
  <w:style w:type="paragraph" w:customStyle="1" w:styleId="sr-Notesbelowtable-significance">
    <w:name w:val="sr - Notes (below table - significance)"/>
    <w:basedOn w:val="sr-Notesbelowtable"/>
    <w:next w:val="Standard"/>
    <w:uiPriority w:val="3"/>
    <w:rsid w:val="008815DF"/>
    <w:pPr>
      <w:keepNext w:val="0"/>
      <w:spacing w:before="0" w:after="300"/>
      <w:jc w:val="left"/>
    </w:pPr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ifo-farbwerte-microsoft-03">
      <a:dk1>
        <a:srgbClr val="000000"/>
      </a:dk1>
      <a:lt1>
        <a:sysClr val="window" lastClr="FFFFFF"/>
      </a:lt1>
      <a:dk2>
        <a:srgbClr val="4F4F4F"/>
      </a:dk2>
      <a:lt2>
        <a:srgbClr val="BEBEBE"/>
      </a:lt2>
      <a:accent1>
        <a:srgbClr val="0074BC"/>
      </a:accent1>
      <a:accent2>
        <a:srgbClr val="B91E1E"/>
      </a:accent2>
      <a:accent3>
        <a:srgbClr val="E1CD00"/>
      </a:accent3>
      <a:accent4>
        <a:srgbClr val="5AA050"/>
      </a:accent4>
      <a:accent5>
        <a:srgbClr val="F07D00"/>
      </a:accent5>
      <a:accent6>
        <a:srgbClr val="009EE3"/>
      </a:accent6>
      <a:hlink>
        <a:srgbClr val="0D4080"/>
      </a:hlink>
      <a:folHlink>
        <a:srgbClr val="8250A0"/>
      </a:folHlink>
    </a:clrScheme>
    <a:fontScheme name="ifo Dokumentvorlage">
      <a:majorFont>
        <a:latin typeface="Source Sans Pro Semibold"/>
        <a:ea typeface=""/>
        <a:cs typeface=""/>
      </a:majorFont>
      <a:minorFont>
        <a:latin typeface="Source Sans Pro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7610-9589-4B95-96B9-F2B1B471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Gust, Sarah</dc:creator>
  <cp:keywords/>
  <dc:description/>
  <cp:lastModifiedBy>Gust, Sarah</cp:lastModifiedBy>
  <cp:revision>1</cp:revision>
  <dcterms:created xsi:type="dcterms:W3CDTF">2022-06-18T00:13:00Z</dcterms:created>
  <dcterms:modified xsi:type="dcterms:W3CDTF">2022-06-18T00:21:00Z</dcterms:modified>
</cp:coreProperties>
</file>