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i w:val="0"/>
          <w:color w:val="2D75B6"/>
          <w:sz w:val="40"/>
        </w:rPr>
        <w:t>369ai</w:t>
      </w:r>
    </w:p>
    <w:p>
      <w:pPr>
        <w:jc w:val="center"/>
      </w:pPr>
      <w:r>
        <w:rPr>
          <w:b/>
          <w:i w:val="0"/>
          <w:color w:val="808080"/>
          <w:sz w:val="22"/>
        </w:rPr>
        <w:t>H R   S U I T E   F O R   O D O O   1 9</w:t>
      </w:r>
    </w:p>
    <w:p>
      <w:pPr>
        <w:spacing w:after="0"/>
      </w:pPr>
    </w:p>
    <w:p>
      <w:pPr>
        <w:jc w:val="center"/>
        <w:pBdr>
          <w:top w:val="single" w:sz="18" w:space="8" w:color="2D75B6"/>
          <w:bottom w:val="single" w:sz="18" w:space="8" w:color="2D75B6"/>
        </w:pBdr>
      </w:pPr>
      <w:r>
        <w:rPr>
          <w:b/>
          <w:i w:val="0"/>
          <w:color w:val="1F4D79"/>
          <w:sz w:val="60"/>
        </w:rPr>
        <w:t>ATTENDANCE LATE TRACKING</w:t>
      </w:r>
    </w:p>
    <w:p>
      <w:pPr>
        <w:spacing w:after="0"/>
      </w:pPr>
    </w:p>
    <w:p>
      <w:pPr>
        <w:jc w:val="center"/>
      </w:pPr>
      <w:r>
        <w:rPr>
          <w:b w:val="0"/>
          <w:i w:val="0"/>
          <w:color w:val="2D75B6"/>
          <w:sz w:val="36"/>
        </w:rPr>
        <w:t>HR Step-by-Step Guide</w:t>
      </w:r>
    </w:p>
    <w:p>
      <w:pPr>
        <w:spacing w:after="0"/>
      </w:pPr>
    </w:p>
    <w:p>
      <w:pPr>
        <w:jc w:val="center"/>
      </w:pPr>
      <w:r>
        <w:rPr>
          <w:b w:val="0"/>
          <w:i/>
          <w:color w:val="808080"/>
          <w:sz w:val="24"/>
        </w:rPr>
        <w:t>Grace periods, deduction slabs, waivers, split shifts and half-day Fridays — a fair, configurable late policy.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 w:val="0"/>
          <w:i/>
          <w:color w:val="808080"/>
          <w:sz w:val="22"/>
        </w:rPr>
        <w:t>A simple guide to setting up the late policy, reading late records, approving waivers and running the monthly summary.</w:t>
      </w:r>
    </w:p>
    <w:p>
      <w:pPr>
        <w:spacing w:after="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0"/>
      </w:tblGrid>
      <w:tr>
        <w:tc>
          <w:tcPr>
            <w:tcW w:w="9960" w:type="dxa"/>
            <w:shd w:val="clear" w:color="auto" w:fill="1F4D79"/>
            <w:vAlign w:val="center"/>
          </w:tcPr>
          <w:p>
            <w:pPr>
              <w:spacing w:before="100" w:after="100"/>
              <w:ind w:left="120"/>
            </w:pPr>
            <w:r>
              <w:rPr>
                <w:b/>
                <w:i w:val="0"/>
                <w:color w:val="FFFFFF"/>
                <w:sz w:val="28"/>
              </w:rPr>
              <w:t>PART 1   Finding Late Tracking</w:t>
            </w:r>
          </w:p>
        </w:tc>
      </w:tr>
    </w:tbl>
    <w:p>
      <w:pPr>
        <w:spacing w:after="0"/>
      </w:pP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1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Open the Late Tracking menu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Everything lives under Attendances → Late Tracking. From there you reach Late Records, Monthly Summary, Waiver Requests (or My Waiver Requests for staff), and a Configuration group with Office Hours &amp; Working Days, Deduction Slabs and Public Holidays.</w:t>
      </w:r>
    </w:p>
    <w:p>
      <w:pPr>
        <w:spacing w:before="80" w:after="40"/>
        <w:jc w:val="center"/>
      </w:pPr>
      <w:r>
        <w:drawing>
          <wp:inline distT="0" distB="0" distL="0" distR="0">
            <wp:extent cx="6126480" cy="2721460"/>
            <wp:effectExtent l="0" t="0" r="0" b="0"/>
            <wp:docPr id="1001" name="Late Tracking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Late Tracking menu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1460"/>
                    </a:xfrm>
                    <a:prstGeom prst="rect">
                      <a:avLst/>
                    </a:prstGeom>
                    <a:ln w="6350">
                      <a:solidFill>
                        <a:srgbClr val="C9C9C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color w:val="808080"/>
          <w:sz w:val="18"/>
        </w:rPr>
        <w:t>The Late Tracking menu — Late Records, Monthly Summary, Waiver Requests and the Configuration group.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0"/>
      </w:tblGrid>
      <w:tr>
        <w:tc>
          <w:tcPr>
            <w:tcW w:w="9960" w:type="dxa"/>
            <w:shd w:val="clear" w:color="auto" w:fill="1F4D79"/>
            <w:vAlign w:val="center"/>
          </w:tcPr>
          <w:p>
            <w:pPr>
              <w:spacing w:before="100" w:after="100"/>
              <w:ind w:left="120"/>
            </w:pPr>
            <w:r>
              <w:rPr>
                <w:b/>
                <w:i w:val="0"/>
                <w:color w:val="FFFFFF"/>
                <w:sz w:val="28"/>
              </w:rPr>
              <w:t>PART 2   Configuring the Late Policy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 w:val="0"/>
          <w:color w:val="333333"/>
          <w:sz w:val="21"/>
        </w:rPr>
        <w:t>Set the policy up once. The central screen is Office Hours &amp; Working Days; two supporting screens define the slab amounts and the holiday calendar.</w:t>
      </w: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2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Set Office Hours &amp; Working Days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Open Configuration → Office Hours &amp; Working Days. Each record defines the policy for a company, optionally narrowed to one Department, in a chosen Office Timezone.</w:t>
      </w:r>
    </w:p>
    <w:p>
      <w:pPr>
        <w:spacing w:before="80" w:after="40"/>
        <w:jc w:val="center"/>
      </w:pPr>
      <w:r>
        <w:drawing>
          <wp:inline distT="0" distB="0" distL="0" distR="0">
            <wp:extent cx="6126480" cy="2414817"/>
            <wp:effectExtent l="0" t="0" r="0" b="0"/>
            <wp:docPr id="1002" name="Office Hour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Office Hours lis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14817"/>
                    </a:xfrm>
                    <a:prstGeom prst="rect">
                      <a:avLst/>
                    </a:prstGeom>
                    <a:ln w="6350">
                      <a:solidFill>
                        <a:srgbClr val="C9C9C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color w:val="808080"/>
          <w:sz w:val="18"/>
        </w:rPr>
        <w:t>Office Hours &amp; Working Days — the policy record list, showing shift type, hours and deduction mode.</w:t>
      </w:r>
    </w:p>
    <w:p>
      <w:pPr>
        <w:pStyle w:val="ListBullet"/>
        <w:spacing w:after="40"/>
      </w:pPr>
      <w:r>
        <w:rPr>
          <w:b/>
          <w:i w:val="0"/>
          <w:color w:val="333333"/>
          <w:sz w:val="21"/>
        </w:rPr>
        <w:t>Scope</w:t>
      </w:r>
      <w:r>
        <w:rPr>
          <w:b w:val="0"/>
          <w:i w:val="0"/>
          <w:color w:val="333333"/>
          <w:sz w:val="21"/>
        </w:rPr>
        <w:t xml:space="preserve"> — Company, optional Department, Office Timezone (e.g. Asia/Muscat).</w:t>
      </w:r>
    </w:p>
    <w:p>
      <w:pPr>
        <w:pStyle w:val="ListBullet"/>
        <w:spacing w:after="40"/>
      </w:pPr>
      <w:r>
        <w:rPr>
          <w:b/>
          <w:i w:val="0"/>
          <w:color w:val="333333"/>
          <w:sz w:val="21"/>
        </w:rPr>
        <w:t>Late Settings</w:t>
      </w:r>
      <w:r>
        <w:rPr>
          <w:b w:val="0"/>
          <w:i w:val="0"/>
          <w:color w:val="333333"/>
          <w:sz w:val="21"/>
        </w:rPr>
        <w:t xml:space="preserve"> — Late Threshold (minutes) and Grace Late Times/Month.</w:t>
      </w:r>
    </w:p>
    <w:p>
      <w:pPr>
        <w:pStyle w:val="ListBullet"/>
        <w:spacing w:after="40"/>
      </w:pPr>
      <w:r>
        <w:rPr>
          <w:b/>
          <w:i w:val="0"/>
          <w:color w:val="333333"/>
          <w:sz w:val="21"/>
        </w:rPr>
        <w:t>Shift Type</w:t>
      </w:r>
      <w:r>
        <w:rPr>
          <w:b w:val="0"/>
          <w:i w:val="0"/>
          <w:color w:val="333333"/>
          <w:sz w:val="21"/>
        </w:rPr>
        <w:t xml:space="preserve"> — Single Shift (Session 1 only) or Split Shift (Session 1 + Session 2).</w:t>
      </w:r>
    </w:p>
    <w:p>
      <w:pPr>
        <w:pStyle w:val="ListBullet"/>
        <w:spacing w:after="40"/>
      </w:pPr>
      <w:r>
        <w:rPr>
          <w:b/>
          <w:i w:val="0"/>
          <w:color w:val="333333"/>
          <w:sz w:val="21"/>
        </w:rPr>
        <w:t>Office Hours</w:t>
      </w:r>
      <w:r>
        <w:rPr>
          <w:b w:val="0"/>
          <w:i w:val="0"/>
          <w:color w:val="333333"/>
          <w:sz w:val="21"/>
        </w:rPr>
        <w:t xml:space="preserve"> — the Start and End time for each session.</w:t>
      </w:r>
    </w:p>
    <w:p>
      <w:pPr>
        <w:pStyle w:val="ListBullet"/>
        <w:spacing w:after="40"/>
      </w:pPr>
      <w:r>
        <w:rPr>
          <w:b/>
          <w:i w:val="0"/>
          <w:color w:val="333333"/>
          <w:sz w:val="21"/>
        </w:rPr>
        <w:t>Working Days</w:t>
      </w:r>
      <w:r>
        <w:rPr>
          <w:b w:val="0"/>
          <w:i w:val="0"/>
          <w:color w:val="333333"/>
          <w:sz w:val="21"/>
        </w:rPr>
        <w:t xml:space="preserve"> — tick the days the company actually works.</w:t>
      </w:r>
    </w:p>
    <w:p>
      <w:pPr>
        <w:pStyle w:val="ListBullet"/>
        <w:spacing w:after="40"/>
      </w:pPr>
      <w:r>
        <w:rPr>
          <w:b/>
          <w:i w:val="0"/>
          <w:color w:val="333333"/>
          <w:sz w:val="21"/>
        </w:rPr>
        <w:t>Half-Day Friday</w:t>
      </w:r>
      <w:r>
        <w:rPr>
          <w:b w:val="0"/>
          <w:i w:val="0"/>
          <w:color w:val="333333"/>
          <w:sz w:val="21"/>
        </w:rPr>
        <w:t xml:space="preserve"> — enable it, set which Fridays (e.g. 2,4) and the shorter hours.</w:t>
      </w:r>
    </w:p>
    <w:p>
      <w:pPr>
        <w:spacing w:before="80" w:after="40"/>
        <w:jc w:val="center"/>
      </w:pPr>
      <w:r>
        <w:drawing>
          <wp:inline distT="0" distB="0" distL="0" distR="0">
            <wp:extent cx="4389120" cy="4461753"/>
            <wp:effectExtent l="0" t="0" r="0" b="0"/>
            <wp:docPr id="1003" name="Office Hours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Office Hours form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461753"/>
                    </a:xfrm>
                    <a:prstGeom prst="rect">
                      <a:avLst/>
                    </a:prstGeom>
                    <a:ln w="6350">
                      <a:solidFill>
                        <a:srgbClr val="C9C9C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color w:val="808080"/>
          <w:sz w:val="18"/>
        </w:rPr>
        <w:t>The full configuration form — scope, late settings, sessions, deduction mode, working days and half-day Fridays, with the Recompute Late Records button at the top.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0"/>
      </w:tblGrid>
      <w:tr>
        <w:tc>
          <w:tcPr>
            <w:tcW w:w="9960" w:type="dxa"/>
            <w:shd w:val="clear" w:color="auto" w:fill="E2EFDA"/>
            <w:tcBorders>
              <w:left w:val="single" w:sz="24" w:space="0" w:color="70AD47"/>
            </w:tcBorders>
          </w:tcPr>
          <w:p>
            <w:pPr>
              <w:spacing w:before="100" w:after="100"/>
              <w:ind w:left="120"/>
            </w:pPr>
            <w:r>
              <w:rPr>
                <w:b/>
                <w:i w:val="0"/>
                <w:color w:val="70AD47"/>
                <w:sz w:val="21"/>
              </w:rPr>
              <w:t xml:space="preserve">TIP  </w:t>
            </w:r>
            <w:r>
              <w:rPr>
                <w:b w:val="0"/>
                <w:i w:val="0"/>
                <w:color w:val="333333"/>
                <w:sz w:val="21"/>
              </w:rPr>
              <w:t>Use the Recompute Late Records button after changing the policy so existing records pick up the new office hours, grace and slabs.</w:t>
            </w:r>
          </w:p>
        </w:tc>
      </w:tr>
    </w:tbl>
    <w:p>
      <w:pPr>
        <w:spacing w:after="0"/>
      </w:pP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3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Choose a Deduction Mode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Two modes decide how much is deducted once an employee is past their grace quota. Pick the one that matches your payroll rules.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80"/>
        <w:gridCol w:w="4980"/>
      </w:tblGrid>
      <w:tr>
        <w:tc>
          <w:tcPr>
            <w:tcW w:w="3320" w:type="dxa"/>
            <w:shd w:val="clear" w:color="auto" w:fill="1F4D79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Deduction mode</w:t>
            </w:r>
          </w:p>
        </w:tc>
        <w:tc>
          <w:tcPr>
            <w:tcW w:w="6640" w:type="dxa"/>
            <w:shd w:val="clear" w:color="auto" w:fill="1F4D79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How the amount is worked out</w:t>
            </w:r>
          </w:p>
        </w:tc>
      </w:tr>
      <w:tr>
        <w:tc>
          <w:tcPr>
            <w:tcW w:w="332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Fixed Amount (Slab-based)</w:t>
            </w:r>
          </w:p>
        </w:tc>
        <w:tc>
          <w:tcPr>
            <w:tcW w:w="664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The late minutes are matched to a row in the Deduction Slabs table and that fixed amount is charged.</w:t>
            </w:r>
          </w:p>
        </w:tc>
      </w:tr>
      <w:tr>
        <w:tc>
          <w:tcPr>
            <w:tcW w:w="332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Hourly Wage Calculation</w:t>
            </w:r>
          </w:p>
        </w:tc>
        <w:tc>
          <w:tcPr>
            <w:tcW w:w="664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An hourly rate (wage ÷ working days ÷ daily hours) is charged for each started hour late. Falls back to the slab if the employee has no wage.</w:t>
            </w:r>
          </w:p>
        </w:tc>
      </w:tr>
    </w:tbl>
    <w:p>
      <w:pPr>
        <w:spacing w:after="0"/>
      </w:pP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4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Set up Deduction Slabs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Open Configuration → Deduction Slabs. Each row is a minute range — Late From and Late To (set To = 0 for “and above”) — with a Deduction Amount. These are used directly in Fixed mode, and as a fallback in Hourly mode.</w:t>
      </w:r>
    </w:p>
    <w:p>
      <w:pPr>
        <w:spacing w:before="80" w:after="40"/>
        <w:jc w:val="center"/>
      </w:pPr>
      <w:r>
        <w:drawing>
          <wp:inline distT="0" distB="0" distL="0" distR="0">
            <wp:extent cx="6126480" cy="2510643"/>
            <wp:effectExtent l="0" t="0" r="0" b="0"/>
            <wp:docPr id="1004" name="Deduction S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Deduction Slab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0643"/>
                    </a:xfrm>
                    <a:prstGeom prst="rect">
                      <a:avLst/>
                    </a:prstGeom>
                    <a:ln w="6350">
                      <a:solidFill>
                        <a:srgbClr val="C9C9C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color w:val="808080"/>
          <w:sz w:val="18"/>
        </w:rPr>
        <w:t>Deduction Slabs — each minute range and its fixed amount (To = 0 means “and above”).</w:t>
      </w: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5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Maintain Public Holidays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Open Configuration → Public Holidays and add each holiday with a Name and Date. Holidays are removed from the working-days count, so no one is marked late on a day 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0"/>
      </w:tblGrid>
      <w:tr>
        <w:tc>
          <w:tcPr>
            <w:tcW w:w="9960" w:type="dxa"/>
            <w:shd w:val="clear" w:color="auto" w:fill="F2F2F2"/>
            <w:tcBorders>
              <w:left w:val="single" w:sz="24" w:space="0" w:color="BFBFBF"/>
            </w:tcBorders>
          </w:tcPr>
          <w:p>
            <w:pPr>
              <w:spacing w:before="100" w:after="100"/>
              <w:ind w:left="120"/>
            </w:pPr>
            <w:r>
              <w:rPr>
                <w:b/>
                <w:i w:val="0"/>
                <w:color w:val="808080"/>
                <w:sz w:val="21"/>
              </w:rPr>
              <w:t xml:space="preserve">NOTE  </w:t>
            </w:r>
            <w:r>
              <w:rPr>
                <w:b w:val="0"/>
                <w:i w:val="0"/>
                <w:color w:val="333333"/>
                <w:sz w:val="21"/>
              </w:rPr>
              <w:t>The grace quota is counted per session, per month. With a split shift, the first late arrival in Session 1 and the first in Session 2 each use their own free allowance before any deduction applies.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0"/>
      </w:tblGrid>
      <w:tr>
        <w:tc>
          <w:tcPr>
            <w:tcW w:w="9960" w:type="dxa"/>
            <w:shd w:val="clear" w:color="auto" w:fill="1F4D79"/>
            <w:vAlign w:val="center"/>
          </w:tcPr>
          <w:p>
            <w:pPr>
              <w:spacing w:before="100" w:after="100"/>
              <w:ind w:left="120"/>
            </w:pPr>
            <w:r>
              <w:rPr>
                <w:b/>
                <w:i w:val="0"/>
                <w:color w:val="FFFFFF"/>
                <w:sz w:val="28"/>
              </w:rPr>
              <w:t>PART 3   Working with Late Records</w:t>
            </w:r>
          </w:p>
        </w:tc>
      </w:tr>
    </w:tbl>
    <w:p>
      <w:pPr>
        <w:spacing w:after="0"/>
      </w:pP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6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Read a late record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Open Late Tracking → Late Records. Each check-in shows whether it Is Late, the Late Time (H:MM), the Session, whether it is a Half Day, the Late # in the month, the Deduction Amount and whether it was Waived. Use the Late Only, With Deduction, Missing Reason and group-by filters to focus. The Late Reason now appears as a column by default, so the explanation is visible without opening each record.</w:t>
      </w:r>
    </w:p>
    <w:p>
      <w:pPr>
        <w:spacing w:before="80" w:after="40"/>
        <w:jc w:val="center"/>
      </w:pPr>
      <w:r>
        <w:drawing>
          <wp:inline distT="0" distB="0" distL="0" distR="0">
            <wp:extent cx="6126480" cy="2678138"/>
            <wp:effectExtent l="0" t="0" r="0" b="0"/>
            <wp:docPr id="1005" name="Late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Late Record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78138"/>
                    </a:xfrm>
                    <a:prstGeom prst="rect">
                      <a:avLst/>
                    </a:prstGeom>
                    <a:ln w="6350">
                      <a:solidFill>
                        <a:srgbClr val="C9C9C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color w:val="808080"/>
          <w:sz w:val="18"/>
        </w:rPr>
        <w:t>Late Records with the Late Only filter — late time, session, late #, deduction and waiver status per check-in.</w:t>
      </w: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7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Enter a late reason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On a late attendance, click Enter Late Reason in the Late Tracking section and type the explanation, or type straight into the Late Reason field. The button is hidden once a reason is filled or the record is waived. Before you save, the pop-up previews the late time, the session, the expected start, the Late # in the month and the Deduction amount, so you can see exactly what will be deducted. Once a reason is saved the button changes to Update Reason (click it to edit the wording), and the button is also hidden after check-out.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0"/>
      </w:tblGrid>
      <w:tr>
        <w:tc>
          <w:tcPr>
            <w:tcW w:w="9960" w:type="dxa"/>
            <w:shd w:val="clear" w:color="auto" w:fill="1F4D79"/>
            <w:vAlign w:val="center"/>
          </w:tcPr>
          <w:p>
            <w:pPr>
              <w:spacing w:before="100" w:after="100"/>
              <w:ind w:left="120"/>
            </w:pPr>
            <w:r>
              <w:rPr>
                <w:b/>
                <w:i w:val="0"/>
                <w:color w:val="FFFFFF"/>
                <w:sz w:val="28"/>
              </w:rPr>
              <w:t>PART 4   The Late Waiver Workflow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 w:val="0"/>
          <w:color w:val="333333"/>
          <w:sz w:val="21"/>
        </w:rPr>
        <w:t>A waiver lets a manager cancel a late deduction when the lateness was justified. It moves through a simple, audited set of states.</w:t>
      </w: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8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Submit a waiver (employee)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On a late record, raise a waiver request, fill the Reason for Waiver and click Submit for Approval. The request moves from Draft to Pending Approval.</w:t>
      </w:r>
    </w:p>
    <w:p>
      <w:pPr>
        <w:spacing w:before="80" w:after="40"/>
        <w:jc w:val="center"/>
      </w:pPr>
      <w:r>
        <w:drawing>
          <wp:inline distT="0" distB="0" distL="0" distR="0">
            <wp:extent cx="6126480" cy="2778956"/>
            <wp:effectExtent l="0" t="0" r="0" b="0"/>
            <wp:docPr id="1006" name="Waiver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Waiver form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8956"/>
                    </a:xfrm>
                    <a:prstGeom prst="rect">
                      <a:avLst/>
                    </a:prstGeom>
                    <a:ln w="6350">
                      <a:solidFill>
                        <a:srgbClr val="C9C9C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color w:val="808080"/>
          <w:sz w:val="18"/>
        </w:rPr>
        <w:t>A waiver request in Draft — employee and late details, reason for waiver, and the Submit for Approval button.</w:t>
      </w: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9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Approve or reject (manager)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A manager opens the pending request and clicks Approve Waiver — the attendance is marked waived and its deduction becomes zero — or Reject with a note. A rejected request can be reset to Draft and resubmitted.</w:t>
      </w:r>
    </w:p>
    <w:p>
      <w:pPr>
        <w:spacing w:before="80" w:after="40"/>
        <w:jc w:val="center"/>
      </w:pPr>
      <w:r>
        <w:drawing>
          <wp:inline distT="0" distB="0" distL="0" distR="0">
            <wp:extent cx="6126480" cy="2673547"/>
            <wp:effectExtent l="0" t="0" r="0" b="0"/>
            <wp:docPr id="1007" name="Waiver Request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Waiver Requests lis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73547"/>
                    </a:xfrm>
                    <a:prstGeom prst="rect">
                      <a:avLst/>
                    </a:prstGeom>
                    <a:ln w="6350">
                      <a:solidFill>
                        <a:srgbClr val="C9C9C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i/>
          <w:color w:val="808080"/>
          <w:sz w:val="18"/>
        </w:rPr>
        <w:t>Waiver Requests — a request awaiting manager approval (Pending Approval).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0"/>
        <w:gridCol w:w="3320"/>
        <w:gridCol w:w="3320"/>
      </w:tblGrid>
      <w:tr>
        <w:tc>
          <w:tcPr>
            <w:tcW w:w="2490" w:type="dxa"/>
            <w:shd w:val="clear" w:color="auto" w:fill="1F4D79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State</w:t>
            </w:r>
          </w:p>
        </w:tc>
        <w:tc>
          <w:tcPr>
            <w:tcW w:w="4150" w:type="dxa"/>
            <w:shd w:val="clear" w:color="auto" w:fill="1F4D79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w="3320" w:type="dxa"/>
            <w:shd w:val="clear" w:color="auto" w:fill="1F4D79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Who acts / button</w:t>
            </w:r>
          </w:p>
        </w:tc>
      </w:tr>
      <w:tr>
        <w:tc>
          <w:tcPr>
            <w:tcW w:w="249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Draft</w:t>
            </w:r>
          </w:p>
        </w:tc>
        <w:tc>
          <w:tcPr>
            <w:tcW w:w="415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Being prepared.</w:t>
            </w:r>
          </w:p>
        </w:tc>
        <w:tc>
          <w:tcPr>
            <w:tcW w:w="332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Employee — Submit for Approval</w:t>
            </w:r>
          </w:p>
        </w:tc>
      </w:tr>
      <w:tr>
        <w:tc>
          <w:tcPr>
            <w:tcW w:w="249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Pending Approval</w:t>
            </w:r>
          </w:p>
        </w:tc>
        <w:tc>
          <w:tcPr>
            <w:tcW w:w="415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Waiting on a manager.</w:t>
            </w:r>
          </w:p>
        </w:tc>
        <w:tc>
          <w:tcPr>
            <w:tcW w:w="332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Manager — Approve Waiver / Reject</w:t>
            </w:r>
          </w:p>
        </w:tc>
      </w:tr>
      <w:tr>
        <w:tc>
          <w:tcPr>
            <w:tcW w:w="249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Approved</w:t>
            </w:r>
          </w:p>
        </w:tc>
        <w:tc>
          <w:tcPr>
            <w:tcW w:w="415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Deduction waived (set to zero).</w:t>
            </w:r>
          </w:p>
        </w:tc>
        <w:tc>
          <w:tcPr>
            <w:tcW w:w="332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—</w:t>
            </w:r>
          </w:p>
        </w:tc>
      </w:tr>
      <w:tr>
        <w:tc>
          <w:tcPr>
            <w:tcW w:w="249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Rejected</w:t>
            </w:r>
          </w:p>
        </w:tc>
        <w:tc>
          <w:tcPr>
            <w:tcW w:w="415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Declined, with a reason.</w:t>
            </w:r>
          </w:p>
        </w:tc>
        <w:tc>
          <w:tcPr>
            <w:tcW w:w="332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Employee — Reset to Draft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0"/>
      </w:tblGrid>
      <w:tr>
        <w:tc>
          <w:tcPr>
            <w:tcW w:w="9960" w:type="dxa"/>
            <w:shd w:val="clear" w:color="auto" w:fill="1F4D79"/>
            <w:vAlign w:val="center"/>
          </w:tcPr>
          <w:p>
            <w:pPr>
              <w:spacing w:before="100" w:after="100"/>
              <w:ind w:left="120"/>
            </w:pPr>
            <w:r>
              <w:rPr>
                <w:b/>
                <w:i w:val="0"/>
                <w:color w:val="FFFFFF"/>
                <w:sz w:val="28"/>
              </w:rPr>
              <w:t>PART 5   The Monthly Late Summary Report</w:t>
            </w:r>
          </w:p>
        </w:tc>
      </w:tr>
    </w:tbl>
    <w:p>
      <w:pPr>
        <w:spacing w:after="0"/>
      </w:pP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10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Generate the summary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Open Late Tracking → Monthly Summary. Choose the Month and Year, optionally a Department or specific Employees, then click Generate Summary.</w:t>
      </w:r>
    </w:p>
    <w:p>
      <w:pPr>
        <w:spacing w:before="200" w:after="40"/>
      </w:pPr>
      <w:r>
        <w:rPr>
          <w:b/>
          <w:i w:val="0"/>
          <w:color w:val="FFFFFF"/>
          <w:sz w:val="20"/>
          <w:shd w:val="clear" w:color="auto" w:fill="2D75B6"/>
        </w:rPr>
        <w:t xml:space="preserve">  Step 11  </w:t>
      </w:r>
      <w:r>
        <w:rPr>
          <w:b w:val="0"/>
          <w:i w:val="0"/>
          <w:color w:val="333333"/>
          <w:sz w:val="20"/>
        </w:rPr>
        <w:t xml:space="preserve">  </w:t>
      </w:r>
      <w:r>
        <w:rPr>
          <w:b/>
          <w:i w:val="0"/>
          <w:color w:val="1F4D79"/>
          <w:sz w:val="25"/>
        </w:rPr>
        <w:t>Read the summary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The report lists one row per employee with Total Late Days, Total Late Time (H:MM) and Total Deductions. Only late arrivals beyond the grace quota are counted — free late times are not in the totals — so the figures match what payroll should deduct.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0"/>
      </w:tblGrid>
      <w:tr>
        <w:tc>
          <w:tcPr>
            <w:tcW w:w="9960" w:type="dxa"/>
            <w:shd w:val="clear" w:color="auto" w:fill="FFF2CC"/>
            <w:tcBorders>
              <w:left w:val="single" w:sz="24" w:space="0" w:color="E0A800"/>
            </w:tcBorders>
          </w:tcPr>
          <w:p>
            <w:pPr>
              <w:spacing w:before="100" w:after="100"/>
              <w:ind w:left="120"/>
            </w:pPr>
            <w:r>
              <w:rPr>
                <w:b/>
                <w:i w:val="0"/>
                <w:color w:val="E0A800"/>
                <w:sz w:val="21"/>
              </w:rPr>
              <w:t xml:space="preserve">IMPORTANT  </w:t>
            </w:r>
            <w:r>
              <w:rPr>
                <w:b w:val="0"/>
                <w:i w:val="0"/>
                <w:color w:val="333333"/>
                <w:sz w:val="21"/>
              </w:rPr>
              <w:t>The summary always counts only the late occurrences after the monthly grace quota, and never counts waived records, so it never over-deducts.</w:t>
            </w:r>
          </w:p>
        </w:tc>
      </w:tr>
    </w:tbl>
    <w:p>
      <w:pPr>
        <w:spacing w:after="0"/>
      </w:pPr>
    </w:p>
    <w:p>
      <w:pPr>
        <w:spacing w:before="240" w:after="80"/>
        <w:pBdr>
          <w:bottom w:val="single" w:sz="8" w:space="4" w:color="2D75B6"/>
        </w:pBdr>
      </w:pPr>
      <w:r>
        <w:rPr>
          <w:b/>
          <w:i w:val="0"/>
          <w:color w:val="2D75B6"/>
          <w:sz w:val="30"/>
        </w:rPr>
        <w:t>Quick Reference — Menus &amp; Buttons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80"/>
        <w:gridCol w:w="4980"/>
      </w:tblGrid>
      <w:tr>
        <w:tc>
          <w:tcPr>
            <w:tcW w:w="4150" w:type="dxa"/>
            <w:shd w:val="clear" w:color="auto" w:fill="1F4D79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w="5810" w:type="dxa"/>
            <w:shd w:val="clear" w:color="auto" w:fill="1F4D79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What it does</w:t>
            </w:r>
          </w:p>
        </w:tc>
      </w:tr>
      <w:tr>
        <w:tc>
          <w:tcPr>
            <w:tcW w:w="415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Office Hours &amp; Working Days</w:t>
            </w:r>
          </w:p>
        </w:tc>
        <w:tc>
          <w:tcPr>
            <w:tcW w:w="581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Define office hours, grace, shift type, working days and half-day Fridays.</w:t>
            </w:r>
          </w:p>
        </w:tc>
      </w:tr>
      <w:tr>
        <w:tc>
          <w:tcPr>
            <w:tcW w:w="415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Deduction Slabs</w:t>
            </w:r>
          </w:p>
        </w:tc>
        <w:tc>
          <w:tcPr>
            <w:tcW w:w="581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Set the fixed amounts charged for each late-minute range.</w:t>
            </w:r>
          </w:p>
        </w:tc>
      </w:tr>
      <w:tr>
        <w:tc>
          <w:tcPr>
            <w:tcW w:w="415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Public Holidays</w:t>
            </w:r>
          </w:p>
        </w:tc>
        <w:tc>
          <w:tcPr>
            <w:tcW w:w="581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Keep the holiday calendar so days off never count as late.</w:t>
            </w:r>
          </w:p>
        </w:tc>
      </w:tr>
      <w:tr>
        <w:tc>
          <w:tcPr>
            <w:tcW w:w="415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Late Records</w:t>
            </w:r>
          </w:p>
        </w:tc>
        <w:tc>
          <w:tcPr>
            <w:tcW w:w="581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Review every check-in, the late time and the deduction.</w:t>
            </w:r>
          </w:p>
        </w:tc>
      </w:tr>
      <w:tr>
        <w:tc>
          <w:tcPr>
            <w:tcW w:w="415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Enter Late Reason</w:t>
            </w:r>
          </w:p>
        </w:tc>
        <w:tc>
          <w:tcPr>
            <w:tcW w:w="581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Record why an employee was late.</w:t>
            </w:r>
          </w:p>
        </w:tc>
      </w:tr>
      <w:tr>
        <w:tc>
          <w:tcPr>
            <w:tcW w:w="415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Waiver Requests</w:t>
            </w:r>
          </w:p>
        </w:tc>
        <w:tc>
          <w:tcPr>
            <w:tcW w:w="581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Submit, approve or reject a waiver of a late deduction.</w:t>
            </w:r>
          </w:p>
        </w:tc>
      </w:tr>
      <w:tr>
        <w:tc>
          <w:tcPr>
            <w:tcW w:w="415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Monthly Summary</w:t>
            </w:r>
          </w:p>
        </w:tc>
        <w:tc>
          <w:tcPr>
            <w:tcW w:w="581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Generate the per-employee late totals for payroll.</w:t>
            </w:r>
          </w:p>
        </w:tc>
      </w:tr>
      <w:tr>
        <w:tc>
          <w:tcPr>
            <w:tcW w:w="4150" w:type="dxa"/>
          </w:tcPr>
          <w:p>
            <w:pPr>
              <w:spacing w:before="40" w:after="40"/>
            </w:pPr>
            <w:r>
              <w:rPr>
                <w:b/>
                <w:i w:val="0"/>
                <w:color w:val="333333"/>
                <w:sz w:val="19"/>
              </w:rPr>
              <w:t>Recompute Late Records</w:t>
            </w:r>
          </w:p>
        </w:tc>
        <w:tc>
          <w:tcPr>
            <w:tcW w:w="5810" w:type="dxa"/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19"/>
              </w:rPr>
              <w:t>Reapply the policy after a configuration change.</w:t>
            </w:r>
          </w:p>
        </w:tc>
      </w:tr>
    </w:tbl>
    <w:p>
      <w:pPr>
        <w:spacing w:after="0"/>
      </w:pPr>
    </w:p>
    <w:p>
      <w:pPr>
        <w:spacing w:before="240" w:after="80"/>
        <w:pBdr>
          <w:bottom w:val="single" w:sz="8" w:space="4" w:color="2D75B6"/>
        </w:pBdr>
      </w:pPr>
      <w:r>
        <w:rPr>
          <w:b/>
          <w:i w:val="0"/>
          <w:color w:val="2D75B6"/>
          <w:sz w:val="30"/>
        </w:rPr>
        <w:t>Things to Remember</w:t>
      </w:r>
    </w:p>
    <w:p>
      <w:pPr>
        <w:pStyle w:val="ListBullet"/>
        <w:spacing w:after="40"/>
      </w:pPr>
      <w:r>
        <w:rPr>
          <w:b w:val="0"/>
          <w:i w:val="0"/>
          <w:color w:val="333333"/>
          <w:sz w:val="21"/>
        </w:rPr>
        <w:t>Set Office Hours, grace and deduction mode before anything else — everything builds on them.</w:t>
      </w:r>
    </w:p>
    <w:p>
      <w:pPr>
        <w:pStyle w:val="ListBullet"/>
        <w:spacing w:after="40"/>
      </w:pPr>
      <w:r>
        <w:rPr>
          <w:b w:val="0"/>
          <w:i w:val="0"/>
          <w:color w:val="333333"/>
          <w:sz w:val="21"/>
        </w:rPr>
        <w:t>Grace is per session, per month; deductions start only after it is used up.</w:t>
      </w:r>
    </w:p>
    <w:p>
      <w:pPr>
        <w:pStyle w:val="ListBullet"/>
        <w:spacing w:after="40"/>
      </w:pPr>
      <w:r>
        <w:rPr>
          <w:b w:val="0"/>
          <w:i w:val="0"/>
          <w:color w:val="333333"/>
          <w:sz w:val="21"/>
        </w:rPr>
        <w:t>Keep Public Holidays current so no one is flagged late on a day off.</w:t>
      </w:r>
    </w:p>
    <w:p>
      <w:pPr>
        <w:pStyle w:val="ListBullet"/>
        <w:spacing w:after="40"/>
      </w:pPr>
      <w:r>
        <w:rPr>
          <w:b w:val="0"/>
          <w:i w:val="0"/>
          <w:color w:val="333333"/>
          <w:sz w:val="21"/>
        </w:rPr>
        <w:t>Recompute Late Records after any policy change.</w:t>
      </w:r>
    </w:p>
    <w:p>
      <w:pPr>
        <w:pStyle w:val="ListBullet"/>
        <w:spacing w:after="40"/>
      </w:pPr>
      <w:r>
        <w:rPr>
          <w:b w:val="0"/>
          <w:i w:val="0"/>
          <w:color w:val="333333"/>
          <w:sz w:val="21"/>
        </w:rPr>
        <w:t>Approved waivers zero the deduction; the monthly summary never counts waived or in-grace records.</w:t>
      </w:r>
    </w:p>
    <w:p>
      <w:pPr>
        <w:pStyle w:val="ListBullet"/>
        <w:spacing w:after="40"/>
      </w:pPr>
      <w:r>
        <w:rPr>
          <w:b w:val="0"/>
          <w:i w:val="0"/>
          <w:color w:val="333333"/>
          <w:sz w:val="21"/>
        </w:rPr>
        <w:t>A late check-in cannot be saved in the backend without a Late Reason — enter it through the Enter Late Reason pop-up first (waived records are exempt).</w:t>
      </w:r>
    </w:p>
    <w:p>
      <w:pPr>
        <w:spacing w:after="0"/>
      </w:pPr>
    </w:p>
    <w:p>
      <w:pPr>
        <w:jc w:val="center"/>
      </w:pPr>
      <w:r>
        <w:rPr>
          <w:b w:val="0"/>
          <w:i/>
          <w:color w:val="808080"/>
          <w:sz w:val="22"/>
        </w:rPr>
        <w:t>— End of Guide —</w:t>
      </w:r>
    </w:p>
    <w:p>
      <w:pPr>
        <w:jc w:val="center"/>
      </w:pPr>
      <w:r>
        <w:rPr>
          <w:b w:val="0"/>
          <w:i w:val="0"/>
          <w:color w:val="808080"/>
          <w:sz w:val="18"/>
        </w:rPr>
        <w:t>369ai.Biz   |   Attendance Late Tracking — HR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40" w:bottom="1080" w:left="11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08080"/>
        <w:sz w:val="16"/>
      </w:rPr>
      <w:t>369ai.Biz  ·  Attendance Late Tracking — HR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80"/>
      <w:gridCol w:w="4980"/>
    </w:tblGrid>
    <w:tr>
      <w:tc>
        <w:tcPr>
          <w:tcW w:w="4980" w:type="dxa"/>
          <w:tcBorders>
            <w:bottom w:val="single" w:sz="12" w:space="0" w:color="2D75B6"/>
          </w:tcBorders>
        </w:tcPr>
        <w:p>
          <w:r>
            <w:rPr>
              <w:b/>
              <w:i w:val="0"/>
              <w:color w:val="1F4D79"/>
              <w:sz w:val="17"/>
            </w:rPr>
            <w:t>Attendance Late Tracking</w:t>
          </w:r>
          <w:r>
            <w:rPr>
              <w:b w:val="0"/>
              <w:i w:val="0"/>
              <w:color w:val="808080"/>
              <w:sz w:val="17"/>
            </w:rPr>
            <w:t xml:space="preserve">   |   HR Step-by-Step Guide</w:t>
          </w:r>
        </w:p>
      </w:tc>
      <w:tc>
        <w:tcPr>
          <w:tcW w:w="4980" w:type="dxa"/>
          <w:tcBorders>
            <w:bottom w:val="single" w:sz="12" w:space="0" w:color="2D75B6"/>
          </w:tcBorders>
        </w:tcPr>
        <w:p>
          <w:pPr>
            <w:jc w:val="right"/>
          </w:pPr>
          <w:r>
            <w:rPr>
              <w:b/>
              <w:i w:val="0"/>
              <w:color w:val="2D75B6"/>
              <w:sz w:val="17"/>
            </w:rPr>
            <w:t>369ai.Biz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