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i w:val="0"/>
          <w:color w:val="2D75B6"/>
          <w:sz w:val="40"/>
        </w:rPr>
        <w:t>369ai</w:t>
      </w:r>
    </w:p>
    <w:p>
      <w:pPr>
        <w:jc w:val="center"/>
      </w:pPr>
      <w:r>
        <w:rPr>
          <w:b/>
          <w:i w:val="0"/>
          <w:color w:val="808080"/>
          <w:sz w:val="22"/>
        </w:rPr>
        <w:t>H R   S U I T E   F O R   O D O O   1 9</w:t>
      </w:r>
    </w:p>
    <w:p>
      <w:pPr>
        <w:spacing w:after="0"/>
      </w:pPr>
    </w:p>
    <w:p>
      <w:pPr>
        <w:jc w:val="center"/>
        <w:pBdr>
          <w:top w:val="single" w:sz="18" w:space="8" w:color="2D75B6"/>
          <w:bottom w:val="single" w:sz="18" w:space="8" w:color="2D75B6"/>
        </w:pBdr>
      </w:pPr>
      <w:r>
        <w:rPr>
          <w:b/>
          <w:i w:val="0"/>
          <w:color w:val="1F4D79"/>
          <w:sz w:val="60"/>
        </w:rPr>
        <w:t>ATTENDANCE LATE TRACKING</w:t>
      </w:r>
    </w:p>
    <w:p>
      <w:pPr>
        <w:spacing w:after="0"/>
      </w:pPr>
    </w:p>
    <w:p>
      <w:pPr>
        <w:jc w:val="center"/>
      </w:pPr>
      <w:r>
        <w:rPr>
          <w:b w:val="0"/>
          <w:i w:val="0"/>
          <w:color w:val="2D75B6"/>
          <w:sz w:val="36"/>
        </w:rPr>
        <w:t>HR Step-by-Step Guide</w:t>
      </w:r>
    </w:p>
    <w:p>
      <w:pPr>
        <w:spacing w:after="0"/>
      </w:pPr>
    </w:p>
    <w:p>
      <w:pPr>
        <w:jc w:val="center"/>
      </w:pPr>
      <w:r>
        <w:rPr>
          <w:b w:val="0"/>
          <w:i/>
          <w:color w:val="808080"/>
          <w:sz w:val="24"/>
        </w:rPr>
        <w:t>Grace periods, deduction slabs, waivers, split shifts and half-day Fridays — a fair, configurable late policy.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 w:val="0"/>
          <w:i/>
          <w:color w:val="808080"/>
          <w:sz w:val="22"/>
        </w:rPr>
        <w:t>A simple guide to setting up the late policy, reading late records, approving waivers and running the monthly summary.</w:t>
      </w:r>
    </w:p>
    <w:p>
      <w:pPr>
        <w:spacing w:after="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1   Finding Late Tracking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Open the Late Tracking menu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Everything lives under Attendances → Late Tracking. From there you reach Late Records, Monthly Summary, Waiver Requests (or My Waiver Requests for staff), and a Configuration group with Office Hours &amp; Working Days, Deduction Slabs and Public Holidays.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721460"/>
            <wp:effectExtent l="0" t="0" r="0" b="0"/>
            <wp:docPr id="1001" name="Late Tracking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Late Tracking menu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21460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The Late Tracking menu — Late Records, Monthly Summary, Waiver Requests and the Configuration group.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2   Configuring the Late Policy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i w:val="0"/>
          <w:color w:val="333333"/>
          <w:sz w:val="21"/>
        </w:rPr>
        <w:t>Set the policy up once. The central screen is Office Hours &amp; Working Days; two supporting screens define the slab amounts and the holiday calendar.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2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Set Office Hours &amp; Working Days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Office Hours &amp; Working Days. Each record defines the policy for a company, optionally narrowed to one Department, in a chosen Office Timezone.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414817"/>
            <wp:effectExtent l="0" t="0" r="0" b="0"/>
            <wp:docPr id="1002" name="Office Hour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Office Hours lis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14817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Office Hours &amp; Working Days — the policy record list, showing shift type, hours and deduction mode.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Scope</w:t>
      </w:r>
      <w:r>
        <w:rPr>
          <w:b w:val="0"/>
          <w:i w:val="0"/>
          <w:color w:val="333333"/>
          <w:sz w:val="21"/>
        </w:rPr>
        <w:t xml:space="preserve"> — Company, optional Department, Office Timezone (e.g. Asia/Muscat).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Late Settings</w:t>
      </w:r>
      <w:r>
        <w:rPr>
          <w:b w:val="0"/>
          <w:i w:val="0"/>
          <w:color w:val="333333"/>
          <w:sz w:val="21"/>
        </w:rPr>
        <w:t xml:space="preserve"> — Late Threshold (minutes) and Grace Late Times/Month.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Shift Type</w:t>
      </w:r>
      <w:r>
        <w:rPr>
          <w:b w:val="0"/>
          <w:i w:val="0"/>
          <w:color w:val="333333"/>
          <w:sz w:val="21"/>
        </w:rPr>
        <w:t xml:space="preserve"> — Single Shift (Session 1 only) or Split Shift (Session 1 + Session 2).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Office Hours</w:t>
      </w:r>
      <w:r>
        <w:rPr>
          <w:b w:val="0"/>
          <w:i w:val="0"/>
          <w:color w:val="333333"/>
          <w:sz w:val="21"/>
        </w:rPr>
        <w:t xml:space="preserve"> — the Start and End time for each session.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Working Days</w:t>
      </w:r>
      <w:r>
        <w:rPr>
          <w:b w:val="0"/>
          <w:i w:val="0"/>
          <w:color w:val="333333"/>
          <w:sz w:val="21"/>
        </w:rPr>
        <w:t xml:space="preserve"> — tick the days the company actually works.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Half-Day Friday</w:t>
      </w:r>
      <w:r>
        <w:rPr>
          <w:b w:val="0"/>
          <w:i w:val="0"/>
          <w:color w:val="333333"/>
          <w:sz w:val="21"/>
        </w:rPr>
        <w:t xml:space="preserve"> — enable it, set which Fridays (e.g. 2,4) and the shorter hours.</w:t>
      </w:r>
    </w:p>
    <w:p>
      <w:pPr>
        <w:spacing w:before="80" w:after="40"/>
        <w:jc w:val="center"/>
      </w:pPr>
      <w:r>
        <w:drawing>
          <wp:inline distT="0" distB="0" distL="0" distR="0">
            <wp:extent cx="4389120" cy="4461753"/>
            <wp:effectExtent l="0" t="0" r="0" b="0"/>
            <wp:docPr id="1003" name="Office Hours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Office Hours form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461753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The full configuration form — scope, late settings, sessions, deduction mode, working days and half-day Fridays, with the Recompute Late Records button at the top.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E2EFDA"/>
            <w:tcBorders>
              <w:left w:val="single" w:sz="24" w:space="0" w:color="70AD47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70AD47"/>
                <w:sz w:val="21"/>
              </w:rPr>
              <w:t xml:space="preserve">TIP  </w:t>
            </w:r>
            <w:r>
              <w:rPr>
                <w:b w:val="0"/>
                <w:i w:val="0"/>
                <w:color w:val="333333"/>
                <w:sz w:val="21"/>
              </w:rPr>
              <w:t>Use the Recompute Late Records button after changing the policy so existing records pick up the new office hours, grace and slabs.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3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Choose a Deduction Mode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Two modes decide how much is deducted once an employee is past their grace quota. Pick the one that matches your payroll rules.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80"/>
        <w:gridCol w:w="4980"/>
      </w:tblGrid>
      <w:tr>
        <w:tc>
          <w:tcPr>
            <w:tcW w:w="332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Deduction mode</w:t>
            </w:r>
          </w:p>
        </w:tc>
        <w:tc>
          <w:tcPr>
            <w:tcW w:w="664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How the amount is worked out</w:t>
            </w:r>
          </w:p>
        </w:tc>
      </w:tr>
      <w:tr>
        <w:tc>
          <w:tcPr>
            <w:tcW w:w="332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Fixed Amount (Slab-based)</w:t>
            </w:r>
          </w:p>
        </w:tc>
        <w:tc>
          <w:tcPr>
            <w:tcW w:w="664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The late minutes are matched to a row in the Deduction Slabs table and that fixed amount is charged.</w:t>
            </w:r>
          </w:p>
        </w:tc>
      </w:tr>
      <w:tr>
        <w:tc>
          <w:tcPr>
            <w:tcW w:w="332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Hourly Wage Calculation</w:t>
            </w:r>
          </w:p>
        </w:tc>
        <w:tc>
          <w:tcPr>
            <w:tcW w:w="664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An hourly rate (wage ÷ working days ÷ daily hours) is charged for each started hour late. Falls back to the slab if the employee has no wage.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4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Set up Deduction Slabs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Deduction Slabs. Each row is a minute range — Late From and Late To (set To = 0 for “and above”) — with a Deduction Amount. These are used directly in Fixed mode, and as a fallback in Hourly mode.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510643"/>
            <wp:effectExtent l="0" t="0" r="0" b="0"/>
            <wp:docPr id="1004" name="Deduction Sla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Deduction Slab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10643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Deduction Slabs — each minute range and its fixed amount (To = 0 means “and above”).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5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Maintain Public Holidays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Public Holidays and add each holiday with a Name and Date. Holidays are removed from the working-days count, so no one is marked late on a day off.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F2F2F2"/>
            <w:tcBorders>
              <w:left w:val="single" w:sz="24" w:space="0" w:color="BFBFBF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808080"/>
                <w:sz w:val="21"/>
              </w:rPr>
              <w:t xml:space="preserve">NOTE  </w:t>
            </w:r>
            <w:r>
              <w:rPr>
                <w:b w:val="0"/>
                <w:i w:val="0"/>
                <w:color w:val="333333"/>
                <w:sz w:val="21"/>
              </w:rPr>
              <w:t>The grace quota is counted per session, per month. With a split shift, the first late arrival in Session 1 and the first in Session 2 each use their own free allowance before any deduction applies.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3   Working with Late Records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6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Read a late record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Late Tracking → Late Records. Each check-in shows whether it Is Late, the Late Time (H:MM), the Session, whether it is a Half Day, the Late # in the month, the Deduction Amount and whether it was Waived. Use the Late Only, With Deduction, Missing Reason and group-by filters to focus.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678138"/>
            <wp:effectExtent l="0" t="0" r="0" b="0"/>
            <wp:docPr id="1005" name="Late 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Late Record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78138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Late Records with the Late Only filter — late time, session, late #, deduction and waiver status per check-in.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7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Enter a late reason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On a late attendance, click Enter Late Reason in the Late Tracking section and type the explanation, or type straight into the Late Reason field. The button is hidden once a reason is filled or the record is waived.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4   The Late Waiver Workflow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i w:val="0"/>
          <w:color w:val="333333"/>
          <w:sz w:val="21"/>
        </w:rPr>
        <w:t>A waiver lets a manager cancel a late deduction when the lateness was justified. It moves through a simple, audited set of states.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8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Submit a waiver (employee)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On a late record, raise a waiver request, fill the Reason for Waiver and click Submit for Approval. The request moves from Draft to Pending Approval.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778956"/>
            <wp:effectExtent l="0" t="0" r="0" b="0"/>
            <wp:docPr id="1006" name="Waiver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Waiver form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78956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A waiver request in Draft — employee and late details, reason for waiver, and the Submit for Approval button.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9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Approve or reject (manager)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A manager opens the pending request and clicks Approve Waiver — the attendance is marked waived and its deduction becomes zero — or Reject with a note. A rejected request can be reset to Draft and resubmitted.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673547"/>
            <wp:effectExtent l="0" t="0" r="0" b="0"/>
            <wp:docPr id="1007" name="Waiver Request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Waiver Requests list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73547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Waiver Requests — a request awaiting manager approval (Pending Approval).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320"/>
        <w:gridCol w:w="3320"/>
        <w:gridCol w:w="3320"/>
      </w:tblGrid>
      <w:tr>
        <w:tc>
          <w:tcPr>
            <w:tcW w:w="249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State</w:t>
            </w:r>
          </w:p>
        </w:tc>
        <w:tc>
          <w:tcPr>
            <w:tcW w:w="415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Meaning</w:t>
            </w:r>
          </w:p>
        </w:tc>
        <w:tc>
          <w:tcPr>
            <w:tcW w:w="332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Who acts / button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Draft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Being prepared.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Employee — Submit for Approval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Pending Approval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Waiting on a manager.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Manager — Approve Waiver / Reject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Approved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Deduction waived (set to zero).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—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Rejected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Declined, with a reason.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Employee — Reset to Draft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5   The Monthly Late Summary Report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10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Generate the summary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Late Tracking → Monthly Summary. Choose the Month and Year, optionally a Department or specific Employees, then click Generate Summary.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11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Read the summary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The report lists one row per employee with Total Late Days, Total Late Time (H:MM) and Total Deductions. Only late arrivals beyond the grace quota are counted — free late times are not in the totals — so the figures match what payroll should deduct.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FFF2CC"/>
            <w:tcBorders>
              <w:left w:val="single" w:sz="24" w:space="0" w:color="E0A800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E0A800"/>
                <w:sz w:val="21"/>
              </w:rPr>
              <w:t xml:space="preserve">IMPORTANT  </w:t>
            </w:r>
            <w:r>
              <w:rPr>
                <w:b w:val="0"/>
                <w:i w:val="0"/>
                <w:color w:val="333333"/>
                <w:sz w:val="21"/>
              </w:rPr>
              <w:t>The summary always counts only the late occurrences after the monthly grace quota, and never counts waived records, so it never over-deducts.</w:t>
            </w:r>
          </w:p>
        </w:tc>
      </w:tr>
    </w:tbl>
    <w:p>
      <w:pPr>
        <w:spacing w:after="0"/>
      </w:pPr>
    </w:p>
    <w:p>
      <w:pPr>
        <w:spacing w:before="240" w:after="80"/>
        <w:pBdr>
          <w:bottom w:val="single" w:sz="8" w:space="4" w:color="2D75B6"/>
        </w:pBdr>
      </w:pPr>
      <w:r>
        <w:rPr>
          <w:b/>
          <w:i w:val="0"/>
          <w:color w:val="2D75B6"/>
          <w:sz w:val="30"/>
        </w:rPr>
        <w:t>Quick Reference — Menus &amp; Buttons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80"/>
        <w:gridCol w:w="4980"/>
      </w:tblGrid>
      <w:tr>
        <w:tc>
          <w:tcPr>
            <w:tcW w:w="415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w="581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What it does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Office Hours &amp; Working Days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Define office hours, grace, shift type, working days and half-day Fridays.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Deduction Slabs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Set the fixed amounts charged for each late-minute range.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Public Holidays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Keep the holiday calendar so days off never count as late.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Late Records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Review every check-in, the late time and the deduction.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Enter Late Reason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Record why an employee was late.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Waiver Requests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Submit, approve or reject a waiver of a late deduction.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Monthly Summary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Generate the per-employee late totals for payroll.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Recompute Late Records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Reapply the policy after a configuration change.</w:t>
            </w:r>
          </w:p>
        </w:tc>
      </w:tr>
    </w:tbl>
    <w:p>
      <w:pPr>
        <w:spacing w:after="0"/>
      </w:pPr>
    </w:p>
    <w:p>
      <w:pPr>
        <w:spacing w:before="240" w:after="80"/>
        <w:pBdr>
          <w:bottom w:val="single" w:sz="8" w:space="4" w:color="2D75B6"/>
        </w:pBdr>
      </w:pPr>
      <w:r>
        <w:rPr>
          <w:b/>
          <w:i w:val="0"/>
          <w:color w:val="2D75B6"/>
          <w:sz w:val="30"/>
        </w:rPr>
        <w:t>Things to Remember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Set Office Hours, grace and deduction mode before anything else — everything builds on them.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Grace is per session, per month; deductions start only after it is used up.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Keep Public Holidays current so no one is flagged late on a day off.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Recompute Late Records after any policy change.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Approved waivers zero the deduction; the monthly summary never counts waived or in-grace records.</w:t>
      </w:r>
    </w:p>
    <w:p>
      <w:pPr>
        <w:spacing w:after="0"/>
      </w:pPr>
    </w:p>
    <w:p>
      <w:pPr>
        <w:jc w:val="center"/>
      </w:pPr>
      <w:r>
        <w:rPr>
          <w:b w:val="0"/>
          <w:i/>
          <w:color w:val="808080"/>
          <w:sz w:val="22"/>
        </w:rPr>
        <w:t>— End of Guide —</w:t>
      </w:r>
    </w:p>
    <w:p>
      <w:pPr>
        <w:jc w:val="center"/>
      </w:pPr>
      <w:r>
        <w:rPr>
          <w:b w:val="0"/>
          <w:i w:val="0"/>
          <w:color w:val="808080"/>
          <w:sz w:val="18"/>
        </w:rPr>
        <w:t>369ai.Biz   |   Attendance Late Tracking — HR Guide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40" w:bottom="1080" w:left="11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08080"/>
        <w:sz w:val="16"/>
      </w:rPr>
      <w:t>369ai.Biz  ·  Attendance Late Tracking — HR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980"/>
      <w:gridCol w:w="4980"/>
    </w:tblGrid>
    <w:tr>
      <w:tc>
        <w:tcPr>
          <w:tcW w:w="4980" w:type="dxa"/>
          <w:tcBorders>
            <w:bottom w:val="single" w:sz="12" w:space="0" w:color="2D75B6"/>
          </w:tcBorders>
        </w:tcPr>
        <w:p>
          <w:r>
            <w:rPr>
              <w:b/>
              <w:i w:val="0"/>
              <w:color w:val="1F4D79"/>
              <w:sz w:val="17"/>
            </w:rPr>
            <w:t>Attendance Late Tracking</w:t>
          </w:r>
          <w:r>
            <w:rPr>
              <w:b w:val="0"/>
              <w:i w:val="0"/>
              <w:color w:val="808080"/>
              <w:sz w:val="17"/>
            </w:rPr>
            <w:t xml:space="preserve">   |   HR Step-by-Step Guide</w:t>
          </w:r>
        </w:p>
      </w:tc>
      <w:tc>
        <w:tcPr>
          <w:tcW w:w="4980" w:type="dxa"/>
          <w:tcBorders>
            <w:bottom w:val="single" w:sz="12" w:space="0" w:color="2D75B6"/>
          </w:tcBorders>
        </w:tcPr>
        <w:p>
          <w:pPr>
            <w:jc w:val="right"/>
          </w:pPr>
          <w:r>
            <w:rPr>
              <w:b/>
              <w:i w:val="0"/>
              <w:color w:val="2D75B6"/>
              <w:sz w:val="17"/>
            </w:rPr>
            <w:t>369ai.Biz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image1.png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image" Target="media/image5.png"/><Relationship Id="rId26" Type="http://schemas.openxmlformats.org/officeDocument/2006/relationships/image" Target="media/image6.png"/><Relationship Id="rId2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