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A6E" w:rsidRDefault="00916849" w:rsidP="001D0F97">
      <w:pPr>
        <w:jc w:val="center"/>
        <w:rPr>
          <w:sz w:val="44"/>
        </w:rPr>
      </w:pPr>
      <w:r>
        <w:rPr>
          <w:sz w:val="44"/>
        </w:rPr>
        <w:t>A Seminar Report</w:t>
      </w:r>
    </w:p>
    <w:p w:rsidR="00F34A3E" w:rsidRDefault="00F34A3E" w:rsidP="001D0F97">
      <w:pPr>
        <w:jc w:val="center"/>
        <w:rPr>
          <w:sz w:val="44"/>
        </w:rPr>
      </w:pPr>
    </w:p>
    <w:p w:rsidR="006A5A6E" w:rsidRDefault="00916849" w:rsidP="001D0F97">
      <w:pPr>
        <w:jc w:val="center"/>
        <w:rPr>
          <w:sz w:val="44"/>
        </w:rPr>
      </w:pPr>
      <w:r>
        <w:rPr>
          <w:sz w:val="44"/>
        </w:rPr>
        <w:t>on</w:t>
      </w:r>
    </w:p>
    <w:p w:rsidR="006A5A6E" w:rsidRDefault="006A5A6E" w:rsidP="001D0F97">
      <w:pPr>
        <w:jc w:val="center"/>
      </w:pPr>
    </w:p>
    <w:p w:rsidR="006A5A6E" w:rsidRDefault="006A5A6E" w:rsidP="001D0F97">
      <w:pPr>
        <w:jc w:val="center"/>
      </w:pPr>
    </w:p>
    <w:p w:rsidR="006A5A6E" w:rsidRDefault="006A5A6E" w:rsidP="001D0F97">
      <w:pPr>
        <w:jc w:val="center"/>
      </w:pPr>
    </w:p>
    <w:p w:rsidR="006A5A6E" w:rsidRDefault="00F34A3E" w:rsidP="001D0F97">
      <w:pPr>
        <w:jc w:val="center"/>
        <w:rPr>
          <w:rFonts w:ascii="Century Schoolbook L" w:hAnsi="Century Schoolbook L"/>
          <w:sz w:val="64"/>
          <w:szCs w:val="64"/>
        </w:rPr>
      </w:pPr>
      <w:r>
        <w:rPr>
          <w:rFonts w:ascii="Century Schoolbook L" w:hAnsi="Century Schoolbook L"/>
          <w:sz w:val="64"/>
          <w:szCs w:val="64"/>
        </w:rPr>
        <w:t>An ATM with an Eye</w:t>
      </w:r>
    </w:p>
    <w:p w:rsidR="006A5A6E" w:rsidRDefault="006A5A6E" w:rsidP="001D0F97">
      <w:pPr>
        <w:jc w:val="center"/>
      </w:pPr>
    </w:p>
    <w:p w:rsidR="006A5A6E" w:rsidRDefault="006A5A6E" w:rsidP="001D0F97">
      <w:pPr>
        <w:jc w:val="center"/>
      </w:pPr>
    </w:p>
    <w:p w:rsidR="006A5A6E" w:rsidRDefault="006A5A6E" w:rsidP="001D0F97">
      <w:pPr>
        <w:jc w:val="center"/>
      </w:pPr>
    </w:p>
    <w:p w:rsidR="006A5A6E" w:rsidRDefault="006A5A6E" w:rsidP="001D0F97">
      <w:pPr>
        <w:jc w:val="center"/>
      </w:pPr>
    </w:p>
    <w:p w:rsidR="006A5A6E" w:rsidRDefault="006A5A6E" w:rsidP="001D0F97">
      <w:pPr>
        <w:jc w:val="center"/>
      </w:pPr>
    </w:p>
    <w:p w:rsidR="006A5A6E" w:rsidRDefault="006A5A6E" w:rsidP="001D0F97">
      <w:pPr>
        <w:jc w:val="center"/>
      </w:pPr>
    </w:p>
    <w:p w:rsidR="006A5A6E" w:rsidRDefault="00916849" w:rsidP="001D0F97">
      <w:pPr>
        <w:jc w:val="center"/>
        <w:rPr>
          <w:i/>
          <w:sz w:val="32"/>
        </w:rPr>
      </w:pPr>
      <w:r>
        <w:rPr>
          <w:i/>
          <w:sz w:val="32"/>
        </w:rPr>
        <w:t>submitted by</w:t>
      </w:r>
    </w:p>
    <w:p w:rsidR="006A5A6E" w:rsidRDefault="00916849" w:rsidP="001D0F97">
      <w:pPr>
        <w:jc w:val="center"/>
        <w:rPr>
          <w:b/>
          <w:bCs/>
          <w:sz w:val="32"/>
        </w:rPr>
      </w:pPr>
      <w:proofErr w:type="spellStart"/>
      <w:r>
        <w:rPr>
          <w:b/>
          <w:bCs/>
          <w:sz w:val="32"/>
        </w:rPr>
        <w:t>name:</w:t>
      </w:r>
      <w:r w:rsidR="00F34A3E">
        <w:rPr>
          <w:b/>
          <w:bCs/>
          <w:sz w:val="32"/>
        </w:rPr>
        <w:t>Ch.Karthik</w:t>
      </w:r>
      <w:proofErr w:type="spellEnd"/>
      <w:r w:rsidR="00F34A3E">
        <w:rPr>
          <w:b/>
          <w:bCs/>
          <w:sz w:val="32"/>
        </w:rPr>
        <w:t xml:space="preserve"> Dattu</w:t>
      </w:r>
    </w:p>
    <w:p w:rsidR="006A5A6E" w:rsidRDefault="00916849" w:rsidP="001D0F97">
      <w:pPr>
        <w:jc w:val="center"/>
        <w:rPr>
          <w:b/>
          <w:bCs/>
          <w:sz w:val="32"/>
        </w:rPr>
      </w:pPr>
      <w:r>
        <w:rPr>
          <w:b/>
          <w:bCs/>
          <w:sz w:val="32"/>
        </w:rPr>
        <w:t>admno:</w:t>
      </w:r>
      <w:r w:rsidR="00F34A3E">
        <w:rPr>
          <w:b/>
          <w:bCs/>
          <w:sz w:val="32"/>
        </w:rPr>
        <w:t>151FA04011</w:t>
      </w:r>
    </w:p>
    <w:p w:rsidR="006A5A6E" w:rsidRDefault="006A5A6E" w:rsidP="001D0F97">
      <w:pPr>
        <w:jc w:val="center"/>
        <w:rPr>
          <w:b/>
          <w:bCs/>
          <w:sz w:val="32"/>
        </w:rPr>
      </w:pPr>
    </w:p>
    <w:p w:rsidR="006A5A6E" w:rsidRDefault="006A5A6E" w:rsidP="001D0F97">
      <w:pPr>
        <w:jc w:val="center"/>
        <w:rPr>
          <w:b/>
          <w:bCs/>
          <w:sz w:val="32"/>
        </w:rPr>
      </w:pPr>
    </w:p>
    <w:p w:rsidR="006A5A6E" w:rsidRDefault="006A5A6E" w:rsidP="001D0F97">
      <w:pPr>
        <w:jc w:val="center"/>
      </w:pPr>
    </w:p>
    <w:p w:rsidR="006A5A6E" w:rsidRDefault="00916849" w:rsidP="001D0F97">
      <w:pPr>
        <w:jc w:val="center"/>
      </w:pPr>
      <w:r>
        <w:rPr>
          <w:noProof/>
          <w:lang w:val="en-IN" w:eastAsia="en-IN"/>
        </w:rPr>
        <w:drawing>
          <wp:inline distT="0" distB="0" distL="0" distR="0">
            <wp:extent cx="3476625" cy="11239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476625" cy="1123950"/>
                    </a:xfrm>
                    <a:prstGeom prst="rect">
                      <a:avLst/>
                    </a:prstGeom>
                    <a:noFill/>
                    <a:ln w="9525">
                      <a:noFill/>
                      <a:miter lim="800000"/>
                      <a:headEnd/>
                      <a:tailEnd/>
                    </a:ln>
                  </pic:spPr>
                </pic:pic>
              </a:graphicData>
            </a:graphic>
          </wp:inline>
        </w:drawing>
      </w:r>
    </w:p>
    <w:p w:rsidR="006A5A6E" w:rsidRDefault="00916849" w:rsidP="001D0F97">
      <w:pPr>
        <w:pStyle w:val="Header"/>
        <w:jc w:val="center"/>
        <w:rPr>
          <w:sz w:val="22"/>
        </w:rPr>
      </w:pPr>
      <w:r>
        <w:rPr>
          <w:sz w:val="22"/>
        </w:rPr>
        <w:t xml:space="preserve">(ACCREDITED BY </w:t>
      </w:r>
      <w:r>
        <w:rPr>
          <w:b/>
          <w:sz w:val="28"/>
        </w:rPr>
        <w:t>NAAC</w:t>
      </w:r>
      <w:r>
        <w:rPr>
          <w:sz w:val="22"/>
        </w:rPr>
        <w:t xml:space="preserve"> WITH </w:t>
      </w:r>
      <w:r>
        <w:rPr>
          <w:b/>
          <w:sz w:val="28"/>
        </w:rPr>
        <w:t>"A"</w:t>
      </w:r>
      <w:r>
        <w:rPr>
          <w:sz w:val="28"/>
        </w:rPr>
        <w:t xml:space="preserve"> </w:t>
      </w:r>
      <w:r>
        <w:rPr>
          <w:sz w:val="22"/>
        </w:rPr>
        <w:t>GRADE)</w:t>
      </w:r>
    </w:p>
    <w:p w:rsidR="006A5A6E" w:rsidRDefault="00916849" w:rsidP="001D0F97">
      <w:pPr>
        <w:pStyle w:val="Header"/>
        <w:jc w:val="center"/>
        <w:rPr>
          <w:sz w:val="22"/>
          <w:szCs w:val="22"/>
        </w:rPr>
      </w:pPr>
      <w:r>
        <w:rPr>
          <w:sz w:val="22"/>
          <w:szCs w:val="22"/>
        </w:rPr>
        <w:t>MHRD</w:t>
      </w:r>
      <w:r>
        <w:rPr>
          <w:b/>
          <w:sz w:val="22"/>
          <w:szCs w:val="22"/>
        </w:rPr>
        <w:t xml:space="preserve"> </w:t>
      </w:r>
      <w:r>
        <w:rPr>
          <w:b/>
          <w:sz w:val="28"/>
          <w:szCs w:val="28"/>
        </w:rPr>
        <w:t>NIRF 88</w:t>
      </w:r>
      <w:r>
        <w:rPr>
          <w:b/>
          <w:sz w:val="22"/>
          <w:szCs w:val="22"/>
          <w:vertAlign w:val="superscript"/>
        </w:rPr>
        <w:t xml:space="preserve"> </w:t>
      </w:r>
      <w:r>
        <w:rPr>
          <w:sz w:val="22"/>
          <w:szCs w:val="22"/>
        </w:rPr>
        <w:t>RANK</w:t>
      </w:r>
    </w:p>
    <w:p w:rsidR="006A5A6E" w:rsidRDefault="006A5A6E" w:rsidP="001D0F97">
      <w:pPr>
        <w:jc w:val="center"/>
        <w:rPr>
          <w:b/>
          <w:bCs/>
        </w:rPr>
      </w:pPr>
    </w:p>
    <w:p w:rsidR="006A5A6E" w:rsidRDefault="006A5A6E" w:rsidP="001D0F97">
      <w:pPr>
        <w:jc w:val="center"/>
        <w:rPr>
          <w:b/>
          <w:bCs/>
        </w:rPr>
      </w:pPr>
    </w:p>
    <w:p w:rsidR="006A5A6E" w:rsidRDefault="006A5A6E" w:rsidP="001D0F97">
      <w:pPr>
        <w:jc w:val="center"/>
        <w:rPr>
          <w:b/>
          <w:bCs/>
        </w:rPr>
      </w:pPr>
    </w:p>
    <w:p w:rsidR="006A5A6E" w:rsidRDefault="006A5A6E" w:rsidP="001D0F97">
      <w:pPr>
        <w:jc w:val="center"/>
        <w:rPr>
          <w:b/>
          <w:bCs/>
        </w:rPr>
      </w:pPr>
    </w:p>
    <w:p w:rsidR="006A5A6E" w:rsidRDefault="006A5A6E" w:rsidP="001D0F97">
      <w:pPr>
        <w:jc w:val="center"/>
        <w:rPr>
          <w:b/>
          <w:bCs/>
        </w:rPr>
      </w:pPr>
    </w:p>
    <w:p w:rsidR="006A5A6E" w:rsidRDefault="00916849" w:rsidP="001D0F97">
      <w:pPr>
        <w:jc w:val="center"/>
        <w:rPr>
          <w:b/>
          <w:bCs/>
          <w:sz w:val="32"/>
        </w:rPr>
      </w:pPr>
      <w:r>
        <w:rPr>
          <w:b/>
          <w:bCs/>
          <w:sz w:val="32"/>
        </w:rPr>
        <w:t>DEPARTMENT OF</w:t>
      </w:r>
    </w:p>
    <w:p w:rsidR="006A5A6E" w:rsidRDefault="00916849" w:rsidP="001D0F97">
      <w:pPr>
        <w:jc w:val="center"/>
        <w:rPr>
          <w:b/>
          <w:bCs/>
          <w:sz w:val="32"/>
        </w:rPr>
      </w:pPr>
      <w:r>
        <w:rPr>
          <w:b/>
          <w:bCs/>
          <w:sz w:val="32"/>
        </w:rPr>
        <w:t>COMPUTER SCIENCE &amp; ENGINEERING</w:t>
      </w:r>
    </w:p>
    <w:p w:rsidR="006A5A6E" w:rsidRDefault="00916849" w:rsidP="001D0F97">
      <w:pPr>
        <w:jc w:val="center"/>
        <w:rPr>
          <w:b/>
          <w:sz w:val="32"/>
        </w:rPr>
      </w:pPr>
      <w:r>
        <w:rPr>
          <w:b/>
          <w:sz w:val="32"/>
        </w:rPr>
        <w:t>VFSTR UNIVERSITY, VADLAMUDI</w:t>
      </w:r>
    </w:p>
    <w:p w:rsidR="006A5A6E" w:rsidRDefault="00916849" w:rsidP="001D0F97">
      <w:pPr>
        <w:jc w:val="center"/>
        <w:rPr>
          <w:b/>
          <w:sz w:val="32"/>
        </w:rPr>
      </w:pPr>
      <w:r>
        <w:rPr>
          <w:b/>
          <w:sz w:val="32"/>
        </w:rPr>
        <w:t>GUNTUR-522213, ANDHRA PRADESH, INDIA.</w:t>
      </w:r>
    </w:p>
    <w:p w:rsidR="006A5A6E" w:rsidRDefault="006A5A6E" w:rsidP="001D0F97">
      <w:pPr>
        <w:jc w:val="center"/>
        <w:rPr>
          <w:b/>
          <w:sz w:val="32"/>
        </w:rPr>
      </w:pPr>
    </w:p>
    <w:p w:rsidR="006A5A6E" w:rsidRDefault="006A5A6E" w:rsidP="001D0F97">
      <w:pPr>
        <w:jc w:val="center"/>
        <w:rPr>
          <w:b/>
          <w:sz w:val="32"/>
        </w:rPr>
      </w:pPr>
    </w:p>
    <w:p w:rsidR="006A5A6E" w:rsidRDefault="00916849" w:rsidP="001D0F97">
      <w:pPr>
        <w:jc w:val="center"/>
        <w:rPr>
          <w:b/>
          <w:sz w:val="32"/>
        </w:rPr>
      </w:pPr>
      <w:r>
        <w:rPr>
          <w:b/>
          <w:sz w:val="32"/>
        </w:rPr>
        <w:t>2016-2017</w:t>
      </w:r>
    </w:p>
    <w:p w:rsidR="006A5A6E" w:rsidRDefault="006A5A6E" w:rsidP="001D0F97">
      <w:pPr>
        <w:spacing w:after="200" w:line="276" w:lineRule="auto"/>
        <w:jc w:val="both"/>
        <w:rPr>
          <w:b/>
          <w:sz w:val="32"/>
        </w:rPr>
      </w:pPr>
    </w:p>
    <w:p w:rsidR="006A5A6E" w:rsidRDefault="00916849" w:rsidP="001D0F97">
      <w:pPr>
        <w:pageBreakBefore/>
        <w:spacing w:line="360" w:lineRule="auto"/>
        <w:jc w:val="both"/>
        <w:rPr>
          <w:b/>
          <w:sz w:val="32"/>
          <w:szCs w:val="32"/>
          <w:u w:val="single"/>
        </w:rPr>
      </w:pPr>
      <w:r>
        <w:rPr>
          <w:b/>
          <w:sz w:val="32"/>
          <w:szCs w:val="32"/>
          <w:u w:val="single"/>
        </w:rPr>
        <w:lastRenderedPageBreak/>
        <w:t>CERTIFICATE</w:t>
      </w:r>
    </w:p>
    <w:p w:rsidR="006A5A6E" w:rsidRDefault="006A5A6E" w:rsidP="001D0F97">
      <w:pPr>
        <w:spacing w:before="240" w:line="360" w:lineRule="auto"/>
        <w:ind w:firstLine="720"/>
        <w:jc w:val="both"/>
        <w:rPr>
          <w:sz w:val="24"/>
          <w:szCs w:val="24"/>
        </w:rPr>
      </w:pPr>
    </w:p>
    <w:p w:rsidR="006A5A6E" w:rsidRDefault="00916849" w:rsidP="001D0F97">
      <w:pPr>
        <w:spacing w:line="360" w:lineRule="auto"/>
        <w:jc w:val="both"/>
        <w:rPr>
          <w:sz w:val="24"/>
          <w:szCs w:val="24"/>
          <w:lang w:val="en-IN"/>
        </w:rPr>
      </w:pPr>
      <w:r>
        <w:rPr>
          <w:sz w:val="24"/>
          <w:szCs w:val="24"/>
          <w:lang w:val="en-IN"/>
        </w:rPr>
        <w:t xml:space="preserve">                         This is to certify that the seminar report entitled </w:t>
      </w:r>
      <w:r w:rsidR="00F34A3E">
        <w:rPr>
          <w:b/>
          <w:sz w:val="24"/>
          <w:szCs w:val="24"/>
          <w:lang w:val="en-IN"/>
        </w:rPr>
        <w:t>“An ATM with an Eye</w:t>
      </w:r>
      <w:r>
        <w:rPr>
          <w:b/>
          <w:sz w:val="24"/>
          <w:szCs w:val="24"/>
          <w:lang w:val="en-IN"/>
        </w:rPr>
        <w:t xml:space="preserve">" </w:t>
      </w:r>
      <w:r>
        <w:rPr>
          <w:sz w:val="24"/>
          <w:szCs w:val="24"/>
          <w:lang w:val="en-IN"/>
        </w:rPr>
        <w:t xml:space="preserve">that is being submitted by </w:t>
      </w:r>
      <w:proofErr w:type="spellStart"/>
      <w:r w:rsidR="00F34A3E">
        <w:rPr>
          <w:b/>
          <w:bCs/>
          <w:sz w:val="36"/>
          <w:szCs w:val="36"/>
          <w:lang w:val="en-IN"/>
        </w:rPr>
        <w:t>Ch.Karthik</w:t>
      </w:r>
      <w:proofErr w:type="spellEnd"/>
      <w:r w:rsidR="00F34A3E">
        <w:rPr>
          <w:b/>
          <w:bCs/>
          <w:sz w:val="36"/>
          <w:szCs w:val="36"/>
          <w:lang w:val="en-IN"/>
        </w:rPr>
        <w:t xml:space="preserve"> Dattu</w:t>
      </w:r>
      <w:r>
        <w:rPr>
          <w:sz w:val="24"/>
          <w:szCs w:val="24"/>
          <w:lang w:val="en-IN"/>
        </w:rPr>
        <w:t xml:space="preserve"> </w:t>
      </w:r>
      <w:r>
        <w:rPr>
          <w:b/>
          <w:sz w:val="24"/>
          <w:szCs w:val="24"/>
          <w:lang w:val="en-IN"/>
        </w:rPr>
        <w:t xml:space="preserve">  </w:t>
      </w:r>
      <w:r>
        <w:rPr>
          <w:sz w:val="24"/>
          <w:szCs w:val="24"/>
          <w:lang w:val="en-IN"/>
        </w:rPr>
        <w:t xml:space="preserve">bearing </w:t>
      </w:r>
      <w:r>
        <w:rPr>
          <w:b/>
          <w:sz w:val="24"/>
          <w:szCs w:val="24"/>
          <w:lang w:val="en-IN"/>
        </w:rPr>
        <w:t>Regd. No.</w:t>
      </w:r>
      <w:r w:rsidR="00F34A3E">
        <w:rPr>
          <w:b/>
          <w:sz w:val="24"/>
          <w:szCs w:val="24"/>
          <w:lang w:val="en-IN"/>
        </w:rPr>
        <w:t>151FA04011</w:t>
      </w:r>
      <w:r>
        <w:rPr>
          <w:b/>
          <w:sz w:val="24"/>
          <w:szCs w:val="24"/>
          <w:lang w:val="en-IN"/>
        </w:rPr>
        <w:t xml:space="preserve">  </w:t>
      </w:r>
      <w:r>
        <w:rPr>
          <w:sz w:val="24"/>
          <w:szCs w:val="24"/>
          <w:lang w:val="en-IN"/>
        </w:rPr>
        <w:t>in partial fulfilment for the award of II year I</w:t>
      </w:r>
      <w:r w:rsidR="00F34A3E">
        <w:rPr>
          <w:sz w:val="24"/>
          <w:szCs w:val="24"/>
          <w:lang w:val="en-IN"/>
        </w:rPr>
        <w:t>I</w:t>
      </w:r>
      <w:r>
        <w:rPr>
          <w:sz w:val="24"/>
          <w:szCs w:val="24"/>
          <w:lang w:val="en-IN"/>
        </w:rPr>
        <w:t xml:space="preserve"> semester </w:t>
      </w:r>
      <w:proofErr w:type="spellStart"/>
      <w:r>
        <w:rPr>
          <w:sz w:val="24"/>
          <w:szCs w:val="24"/>
          <w:lang w:val="en-IN"/>
        </w:rPr>
        <w:t>B.Tech</w:t>
      </w:r>
      <w:proofErr w:type="spellEnd"/>
      <w:r>
        <w:rPr>
          <w:sz w:val="24"/>
          <w:szCs w:val="24"/>
          <w:lang w:val="en-IN"/>
        </w:rPr>
        <w:t xml:space="preserve"> degree in Computer Science and Engineering to </w:t>
      </w:r>
      <w:proofErr w:type="spellStart"/>
      <w:r>
        <w:rPr>
          <w:sz w:val="24"/>
          <w:szCs w:val="24"/>
          <w:lang w:val="en-IN"/>
        </w:rPr>
        <w:t>Vignan’s</w:t>
      </w:r>
      <w:proofErr w:type="spellEnd"/>
      <w:r>
        <w:rPr>
          <w:sz w:val="24"/>
          <w:szCs w:val="24"/>
          <w:lang w:val="en-IN"/>
        </w:rPr>
        <w:t xml:space="preserve"> Foundation for Science Technology and Research University, is a record of </w:t>
      </w:r>
      <w:proofErr w:type="spellStart"/>
      <w:r>
        <w:rPr>
          <w:sz w:val="24"/>
          <w:szCs w:val="24"/>
          <w:lang w:val="en-IN"/>
        </w:rPr>
        <w:t>bonafide</w:t>
      </w:r>
      <w:proofErr w:type="spellEnd"/>
      <w:r>
        <w:rPr>
          <w:sz w:val="24"/>
          <w:szCs w:val="24"/>
          <w:lang w:val="en-IN"/>
        </w:rPr>
        <w:t xml:space="preserve"> work carried out by them under the int</w:t>
      </w:r>
      <w:r w:rsidR="00F34A3E">
        <w:rPr>
          <w:sz w:val="24"/>
          <w:szCs w:val="24"/>
          <w:lang w:val="en-IN"/>
        </w:rPr>
        <w:t xml:space="preserve">ernal guidance of </w:t>
      </w:r>
      <w:proofErr w:type="spellStart"/>
      <w:r w:rsidR="00F34A3E">
        <w:rPr>
          <w:sz w:val="24"/>
          <w:szCs w:val="24"/>
          <w:lang w:val="en-IN"/>
        </w:rPr>
        <w:t>Ms.S.RadhaRani</w:t>
      </w:r>
      <w:proofErr w:type="spellEnd"/>
      <w:r>
        <w:rPr>
          <w:sz w:val="24"/>
          <w:szCs w:val="24"/>
          <w:lang w:val="en-IN"/>
        </w:rPr>
        <w:t xml:space="preserve"> of CSE Department.</w:t>
      </w:r>
    </w:p>
    <w:p w:rsidR="006A5A6E" w:rsidRDefault="006A5A6E" w:rsidP="001D0F97">
      <w:pPr>
        <w:spacing w:line="360" w:lineRule="auto"/>
        <w:jc w:val="both"/>
        <w:rPr>
          <w:b/>
          <w:bCs/>
          <w:sz w:val="24"/>
          <w:szCs w:val="32"/>
        </w:rPr>
      </w:pPr>
    </w:p>
    <w:p w:rsidR="006A5A6E" w:rsidRDefault="006A5A6E" w:rsidP="001D0F97">
      <w:pPr>
        <w:spacing w:line="360" w:lineRule="auto"/>
        <w:jc w:val="both"/>
        <w:rPr>
          <w:b/>
          <w:bCs/>
          <w:sz w:val="24"/>
          <w:szCs w:val="32"/>
        </w:rPr>
      </w:pPr>
    </w:p>
    <w:p w:rsidR="006A5A6E" w:rsidRDefault="00F34A3E" w:rsidP="001D0F97">
      <w:pPr>
        <w:spacing w:line="360" w:lineRule="auto"/>
        <w:jc w:val="both"/>
        <w:rPr>
          <w:bCs/>
          <w:sz w:val="24"/>
          <w:szCs w:val="32"/>
        </w:rPr>
      </w:pPr>
      <w:r>
        <w:rPr>
          <w:bCs/>
          <w:sz w:val="24"/>
          <w:szCs w:val="32"/>
        </w:rPr>
        <w:t xml:space="preserve">  </w:t>
      </w:r>
      <w:r w:rsidR="00916849">
        <w:rPr>
          <w:bCs/>
          <w:sz w:val="24"/>
          <w:szCs w:val="32"/>
        </w:rPr>
        <w:t xml:space="preserve">Signature of the faculty guide </w:t>
      </w:r>
      <w:r w:rsidR="00916849">
        <w:rPr>
          <w:bCs/>
          <w:sz w:val="24"/>
          <w:szCs w:val="32"/>
        </w:rPr>
        <w:tab/>
        <w:t xml:space="preserve">                                </w:t>
      </w:r>
      <w:r>
        <w:rPr>
          <w:bCs/>
          <w:sz w:val="24"/>
          <w:szCs w:val="32"/>
        </w:rPr>
        <w:t xml:space="preserve">    </w:t>
      </w:r>
      <w:r w:rsidR="00916849">
        <w:rPr>
          <w:bCs/>
          <w:sz w:val="24"/>
          <w:szCs w:val="32"/>
        </w:rPr>
        <w:t>Signature of Head of the Department</w:t>
      </w:r>
    </w:p>
    <w:p w:rsidR="006A5A6E" w:rsidRDefault="00F34A3E" w:rsidP="001D0F97">
      <w:pPr>
        <w:spacing w:before="240" w:line="360" w:lineRule="auto"/>
        <w:ind w:left="720" w:hanging="720"/>
        <w:jc w:val="both"/>
        <w:rPr>
          <w:sz w:val="24"/>
          <w:szCs w:val="32"/>
        </w:rPr>
      </w:pPr>
      <w:r>
        <w:rPr>
          <w:sz w:val="24"/>
          <w:szCs w:val="32"/>
        </w:rPr>
        <w:t xml:space="preserve">          </w:t>
      </w:r>
      <w:r w:rsidR="00853AA8">
        <w:rPr>
          <w:sz w:val="24"/>
          <w:szCs w:val="32"/>
        </w:rPr>
        <w:t xml:space="preserve"> </w:t>
      </w:r>
      <w:proofErr w:type="spellStart"/>
      <w:r>
        <w:rPr>
          <w:sz w:val="24"/>
          <w:szCs w:val="32"/>
        </w:rPr>
        <w:t>Ms.S.RadhaRani</w:t>
      </w:r>
      <w:proofErr w:type="spellEnd"/>
      <w:r w:rsidR="00916849">
        <w:rPr>
          <w:sz w:val="24"/>
          <w:szCs w:val="32"/>
        </w:rPr>
        <w:t xml:space="preserve">                                  </w:t>
      </w:r>
      <w:r w:rsidR="00916849">
        <w:rPr>
          <w:sz w:val="24"/>
          <w:szCs w:val="32"/>
        </w:rPr>
        <w:tab/>
        <w:t xml:space="preserve">                             </w:t>
      </w:r>
      <w:proofErr w:type="spellStart"/>
      <w:r>
        <w:rPr>
          <w:sz w:val="24"/>
          <w:szCs w:val="24"/>
        </w:rPr>
        <w:t>Dr.D.Venkatesulu</w:t>
      </w:r>
      <w:proofErr w:type="spellEnd"/>
      <w:r w:rsidR="00916849">
        <w:rPr>
          <w:sz w:val="24"/>
          <w:szCs w:val="32"/>
        </w:rPr>
        <w:t xml:space="preserve">                                                 </w:t>
      </w:r>
      <w:r w:rsidR="00853AA8">
        <w:rPr>
          <w:sz w:val="24"/>
          <w:szCs w:val="32"/>
        </w:rPr>
        <w:t xml:space="preserve">   </w:t>
      </w:r>
      <w:r w:rsidR="00916849">
        <w:rPr>
          <w:sz w:val="24"/>
          <w:szCs w:val="32"/>
        </w:rPr>
        <w:t xml:space="preserve">Asst. Professor                            </w:t>
      </w:r>
      <w:r w:rsidR="00916849">
        <w:rPr>
          <w:sz w:val="24"/>
          <w:szCs w:val="32"/>
        </w:rPr>
        <w:tab/>
      </w:r>
      <w:r w:rsidR="00916849">
        <w:rPr>
          <w:sz w:val="24"/>
          <w:szCs w:val="32"/>
        </w:rPr>
        <w:tab/>
      </w:r>
      <w:r w:rsidR="00916849">
        <w:rPr>
          <w:sz w:val="24"/>
          <w:szCs w:val="32"/>
        </w:rPr>
        <w:tab/>
        <w:t xml:space="preserve">          </w:t>
      </w:r>
      <w:r w:rsidR="00916849">
        <w:rPr>
          <w:sz w:val="24"/>
          <w:szCs w:val="32"/>
        </w:rPr>
        <w:tab/>
        <w:t xml:space="preserve">      </w:t>
      </w:r>
      <w:r w:rsidR="00853AA8">
        <w:rPr>
          <w:sz w:val="24"/>
          <w:szCs w:val="32"/>
        </w:rPr>
        <w:t xml:space="preserve">   </w:t>
      </w:r>
      <w:r>
        <w:rPr>
          <w:sz w:val="24"/>
          <w:szCs w:val="32"/>
        </w:rPr>
        <w:t xml:space="preserve"> </w:t>
      </w:r>
      <w:proofErr w:type="spellStart"/>
      <w:r w:rsidR="00916849">
        <w:rPr>
          <w:sz w:val="24"/>
          <w:szCs w:val="32"/>
        </w:rPr>
        <w:t>Professor</w:t>
      </w:r>
      <w:proofErr w:type="spellEnd"/>
    </w:p>
    <w:p w:rsidR="006A5A6E" w:rsidRDefault="00916849" w:rsidP="001D0F97">
      <w:pPr>
        <w:tabs>
          <w:tab w:val="left" w:pos="360"/>
          <w:tab w:val="left" w:pos="855"/>
        </w:tabs>
        <w:spacing w:line="360" w:lineRule="auto"/>
        <w:ind w:left="360" w:hanging="360"/>
        <w:jc w:val="both"/>
        <w:rPr>
          <w:b/>
          <w:sz w:val="24"/>
          <w:szCs w:val="24"/>
        </w:rPr>
      </w:pPr>
      <w:r>
        <w:rPr>
          <w:b/>
          <w:sz w:val="24"/>
          <w:szCs w:val="24"/>
        </w:rPr>
        <w:t xml:space="preserve">        </w:t>
      </w: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6A5A6E" w:rsidP="001D0F97">
      <w:pPr>
        <w:tabs>
          <w:tab w:val="left" w:pos="360"/>
        </w:tabs>
        <w:spacing w:line="360" w:lineRule="auto"/>
        <w:jc w:val="both"/>
        <w:rPr>
          <w:b/>
          <w:sz w:val="24"/>
          <w:szCs w:val="24"/>
        </w:rPr>
      </w:pPr>
    </w:p>
    <w:p w:rsidR="006A5A6E" w:rsidRDefault="00916849" w:rsidP="001D0F97">
      <w:pPr>
        <w:jc w:val="both"/>
      </w:pPr>
      <w:r>
        <w:tab/>
      </w:r>
    </w:p>
    <w:p w:rsidR="00F34A3E" w:rsidRDefault="00F34A3E" w:rsidP="001D0F97">
      <w:pPr>
        <w:jc w:val="both"/>
      </w:pPr>
    </w:p>
    <w:p w:rsidR="00F34A3E" w:rsidRDefault="00F34A3E" w:rsidP="001D0F97">
      <w:pPr>
        <w:jc w:val="both"/>
      </w:pPr>
    </w:p>
    <w:p w:rsidR="00F34A3E" w:rsidRDefault="00F34A3E" w:rsidP="001D0F97">
      <w:pPr>
        <w:jc w:val="both"/>
      </w:pPr>
    </w:p>
    <w:p w:rsidR="005823A4" w:rsidRDefault="005823A4" w:rsidP="001D0F97">
      <w:pPr>
        <w:jc w:val="both"/>
      </w:pPr>
    </w:p>
    <w:p w:rsidR="005823A4" w:rsidRDefault="005823A4" w:rsidP="001D0F97">
      <w:pPr>
        <w:jc w:val="both"/>
      </w:pPr>
    </w:p>
    <w:p w:rsidR="001E196B" w:rsidRDefault="001E196B" w:rsidP="001D0F97">
      <w:pPr>
        <w:spacing w:line="600" w:lineRule="auto"/>
        <w:jc w:val="both"/>
        <w:rPr>
          <w:b/>
          <w:sz w:val="28"/>
          <w:szCs w:val="28"/>
        </w:rPr>
      </w:pPr>
    </w:p>
    <w:p w:rsidR="001D0F97" w:rsidRPr="001D0F97" w:rsidRDefault="001D0F97" w:rsidP="001D0F97">
      <w:pPr>
        <w:pageBreakBefore/>
        <w:suppressAutoHyphens w:val="0"/>
        <w:autoSpaceDE w:val="0"/>
        <w:autoSpaceDN w:val="0"/>
        <w:adjustRightInd w:val="0"/>
        <w:rPr>
          <w:rFonts w:eastAsia="Droid Sans Fallback"/>
          <w:sz w:val="32"/>
          <w:szCs w:val="32"/>
          <w:lang w:val="en-IN"/>
        </w:rPr>
      </w:pPr>
      <w:r w:rsidRPr="001D0F97">
        <w:rPr>
          <w:rFonts w:eastAsia="Droid Sans Fallback"/>
          <w:b/>
          <w:bCs/>
          <w:sz w:val="32"/>
          <w:szCs w:val="32"/>
          <w:lang w:val="en-IN"/>
        </w:rPr>
        <w:lastRenderedPageBreak/>
        <w:t xml:space="preserve">Content </w:t>
      </w:r>
    </w:p>
    <w:p w:rsidR="001D0F97" w:rsidRDefault="001D0F97" w:rsidP="001D0F97">
      <w:pPr>
        <w:suppressAutoHyphens w:val="0"/>
        <w:autoSpaceDE w:val="0"/>
        <w:autoSpaceDN w:val="0"/>
        <w:adjustRightInd w:val="0"/>
        <w:rPr>
          <w:rFonts w:eastAsia="Droid Sans Fallback"/>
          <w:sz w:val="24"/>
          <w:szCs w:val="24"/>
          <w:lang w:val="en-IN"/>
        </w:rPr>
      </w:pPr>
    </w:p>
    <w:p w:rsidR="001D0F97" w:rsidRDefault="001D0F97" w:rsidP="001D0F97">
      <w:pPr>
        <w:suppressAutoHyphens w:val="0"/>
        <w:autoSpaceDE w:val="0"/>
        <w:autoSpaceDN w:val="0"/>
        <w:adjustRightInd w:val="0"/>
        <w:rPr>
          <w:rFonts w:eastAsia="Droid Sans Fallback"/>
          <w:sz w:val="24"/>
          <w:szCs w:val="24"/>
          <w:lang w:val="en-IN"/>
        </w:rPr>
      </w:pPr>
      <w:r w:rsidRPr="001D0F97">
        <w:rPr>
          <w:rFonts w:eastAsia="Droid Sans Fallback"/>
          <w:sz w:val="24"/>
          <w:szCs w:val="24"/>
          <w:lang w:val="en-IN"/>
        </w:rPr>
        <w:t xml:space="preserve"> Introduction </w:t>
      </w:r>
    </w:p>
    <w:p w:rsidR="001D0F97" w:rsidRPr="001D0F97" w:rsidRDefault="001D0F97" w:rsidP="001D0F97">
      <w:pPr>
        <w:suppressAutoHyphens w:val="0"/>
        <w:autoSpaceDE w:val="0"/>
        <w:autoSpaceDN w:val="0"/>
        <w:adjustRightInd w:val="0"/>
        <w:rPr>
          <w:rFonts w:eastAsia="Droid Sans Fallback"/>
          <w:sz w:val="24"/>
          <w:szCs w:val="24"/>
          <w:lang w:val="en-IN"/>
        </w:rPr>
      </w:pPr>
    </w:p>
    <w:p w:rsidR="001D0F97" w:rsidRDefault="001D0F97" w:rsidP="001D0F97">
      <w:pPr>
        <w:suppressAutoHyphens w:val="0"/>
        <w:autoSpaceDE w:val="0"/>
        <w:autoSpaceDN w:val="0"/>
        <w:adjustRightInd w:val="0"/>
        <w:rPr>
          <w:rFonts w:eastAsia="Droid Sans Fallback"/>
          <w:sz w:val="24"/>
          <w:szCs w:val="24"/>
          <w:lang w:val="en-IN"/>
        </w:rPr>
      </w:pPr>
      <w:r>
        <w:rPr>
          <w:rFonts w:eastAsia="Droid Sans Fallback"/>
          <w:sz w:val="24"/>
          <w:szCs w:val="24"/>
          <w:lang w:val="en-IN"/>
        </w:rPr>
        <w:t xml:space="preserve"> </w:t>
      </w:r>
      <w:r w:rsidRPr="001D0F97">
        <w:rPr>
          <w:rFonts w:eastAsia="Droid Sans Fallback"/>
          <w:sz w:val="24"/>
          <w:szCs w:val="24"/>
          <w:lang w:val="en-IN"/>
        </w:rPr>
        <w:t xml:space="preserve">The performance spectrum </w:t>
      </w:r>
    </w:p>
    <w:p w:rsidR="001D0F97" w:rsidRPr="001D0F97" w:rsidRDefault="001D0F97" w:rsidP="001D0F97">
      <w:pPr>
        <w:suppressAutoHyphens w:val="0"/>
        <w:autoSpaceDE w:val="0"/>
        <w:autoSpaceDN w:val="0"/>
        <w:adjustRightInd w:val="0"/>
        <w:rPr>
          <w:rFonts w:eastAsia="Droid Sans Fallback"/>
          <w:sz w:val="24"/>
          <w:szCs w:val="24"/>
          <w:lang w:val="en-IN"/>
        </w:rPr>
      </w:pPr>
    </w:p>
    <w:p w:rsidR="001D0F97" w:rsidRPr="001D0F97" w:rsidRDefault="001D0F97" w:rsidP="001D0F97">
      <w:pPr>
        <w:suppressAutoHyphens w:val="0"/>
        <w:autoSpaceDE w:val="0"/>
        <w:autoSpaceDN w:val="0"/>
        <w:adjustRightInd w:val="0"/>
        <w:rPr>
          <w:rFonts w:eastAsia="Droid Sans Fallback"/>
          <w:sz w:val="24"/>
          <w:szCs w:val="24"/>
          <w:lang w:val="en-IN"/>
        </w:rPr>
      </w:pPr>
      <w:r>
        <w:rPr>
          <w:rFonts w:eastAsia="Droid Sans Fallback"/>
          <w:sz w:val="24"/>
          <w:szCs w:val="24"/>
          <w:lang w:val="en-IN"/>
        </w:rPr>
        <w:t xml:space="preserve"> </w:t>
      </w:r>
      <w:r w:rsidRPr="001D0F97">
        <w:rPr>
          <w:rFonts w:eastAsia="Droid Sans Fallback"/>
          <w:sz w:val="24"/>
          <w:szCs w:val="24"/>
          <w:lang w:val="en-IN"/>
        </w:rPr>
        <w:t xml:space="preserve">Design and Analysis of the Blue Gene/L Torus Interconnection Network </w:t>
      </w:r>
    </w:p>
    <w:p w:rsidR="001D0F97" w:rsidRDefault="001D0F97" w:rsidP="001D0F97">
      <w:pPr>
        <w:suppressAutoHyphens w:val="0"/>
        <w:autoSpaceDE w:val="0"/>
        <w:autoSpaceDN w:val="0"/>
        <w:adjustRightInd w:val="0"/>
        <w:rPr>
          <w:rFonts w:eastAsia="Droid Sans Fallback"/>
          <w:sz w:val="24"/>
          <w:szCs w:val="24"/>
          <w:lang w:val="en-IN"/>
        </w:rPr>
      </w:pPr>
      <w:r w:rsidRPr="001D0F97">
        <w:rPr>
          <w:rFonts w:eastAsia="Droid Sans Fallback"/>
          <w:sz w:val="24"/>
          <w:szCs w:val="24"/>
          <w:lang w:val="en-IN"/>
        </w:rPr>
        <w:t xml:space="preserve"> </w:t>
      </w:r>
    </w:p>
    <w:p w:rsidR="001D0F97" w:rsidRDefault="001D0F97" w:rsidP="001D0F97">
      <w:pPr>
        <w:suppressAutoHyphens w:val="0"/>
        <w:autoSpaceDE w:val="0"/>
        <w:autoSpaceDN w:val="0"/>
        <w:adjustRightInd w:val="0"/>
        <w:rPr>
          <w:rFonts w:eastAsia="Droid Sans Fallback"/>
          <w:sz w:val="24"/>
          <w:szCs w:val="24"/>
          <w:lang w:val="en-IN"/>
        </w:rPr>
      </w:pPr>
      <w:r>
        <w:rPr>
          <w:rFonts w:eastAsia="Droid Sans Fallback"/>
          <w:sz w:val="24"/>
          <w:szCs w:val="24"/>
          <w:lang w:val="en-IN"/>
        </w:rPr>
        <w:t xml:space="preserve"> </w:t>
      </w:r>
      <w:r w:rsidRPr="001D0F97">
        <w:rPr>
          <w:rFonts w:eastAsia="Droid Sans Fallback"/>
          <w:sz w:val="24"/>
          <w:szCs w:val="24"/>
          <w:lang w:val="en-IN"/>
        </w:rPr>
        <w:t xml:space="preserve">Torus Network </w:t>
      </w:r>
    </w:p>
    <w:p w:rsidR="001D0F97" w:rsidRDefault="001D0F97" w:rsidP="001D0F97">
      <w:pPr>
        <w:suppressAutoHyphens w:val="0"/>
        <w:autoSpaceDE w:val="0"/>
        <w:autoSpaceDN w:val="0"/>
        <w:adjustRightInd w:val="0"/>
        <w:rPr>
          <w:rFonts w:eastAsia="Droid Sans Fallback"/>
          <w:sz w:val="24"/>
          <w:szCs w:val="24"/>
          <w:lang w:val="en-IN"/>
        </w:rPr>
      </w:pPr>
    </w:p>
    <w:p w:rsidR="001D0F97" w:rsidRPr="001D0F97" w:rsidRDefault="001D0F97" w:rsidP="001D0F97">
      <w:pPr>
        <w:suppressAutoHyphens w:val="0"/>
        <w:autoSpaceDE w:val="0"/>
        <w:autoSpaceDN w:val="0"/>
        <w:adjustRightInd w:val="0"/>
        <w:rPr>
          <w:rFonts w:eastAsia="Droid Sans Fallback"/>
          <w:sz w:val="24"/>
          <w:szCs w:val="24"/>
          <w:lang w:val="en-IN"/>
        </w:rPr>
      </w:pPr>
      <w:r w:rsidRPr="001D0F97">
        <w:rPr>
          <w:rFonts w:eastAsia="Droid Sans Fallback"/>
          <w:sz w:val="24"/>
          <w:szCs w:val="24"/>
          <w:lang w:val="en-IN"/>
        </w:rPr>
        <w:t xml:space="preserve"> Simulator Overview </w:t>
      </w:r>
    </w:p>
    <w:p w:rsidR="001D0F97" w:rsidRDefault="001D0F97" w:rsidP="001D0F97">
      <w:pPr>
        <w:suppressAutoHyphens w:val="0"/>
        <w:autoSpaceDE w:val="0"/>
        <w:autoSpaceDN w:val="0"/>
        <w:adjustRightInd w:val="0"/>
        <w:rPr>
          <w:rFonts w:eastAsia="Droid Sans Fallback"/>
          <w:sz w:val="24"/>
          <w:szCs w:val="24"/>
          <w:lang w:val="en-IN"/>
        </w:rPr>
      </w:pPr>
    </w:p>
    <w:p w:rsidR="001D0F97" w:rsidRPr="001D0F97" w:rsidRDefault="001D0F97" w:rsidP="001D0F97">
      <w:pPr>
        <w:suppressAutoHyphens w:val="0"/>
        <w:autoSpaceDE w:val="0"/>
        <w:autoSpaceDN w:val="0"/>
        <w:adjustRightInd w:val="0"/>
        <w:rPr>
          <w:rFonts w:eastAsia="Droid Sans Fallback"/>
          <w:sz w:val="24"/>
          <w:szCs w:val="24"/>
          <w:lang w:val="en-IN"/>
        </w:rPr>
      </w:pPr>
      <w:r w:rsidRPr="001D0F97">
        <w:rPr>
          <w:rFonts w:eastAsia="Droid Sans Fallback"/>
          <w:sz w:val="24"/>
          <w:szCs w:val="24"/>
          <w:lang w:val="en-IN"/>
        </w:rPr>
        <w:t xml:space="preserve"> Sample Performance Studies </w:t>
      </w:r>
    </w:p>
    <w:p w:rsidR="001D0F97" w:rsidRDefault="001D0F97" w:rsidP="001D0F97">
      <w:pPr>
        <w:suppressAutoHyphens w:val="0"/>
        <w:autoSpaceDE w:val="0"/>
        <w:autoSpaceDN w:val="0"/>
        <w:adjustRightInd w:val="0"/>
        <w:rPr>
          <w:rFonts w:eastAsia="Droid Sans Fallback"/>
          <w:sz w:val="24"/>
          <w:szCs w:val="24"/>
          <w:lang w:val="en-IN"/>
        </w:rPr>
      </w:pPr>
    </w:p>
    <w:p w:rsidR="001D0F97" w:rsidRPr="001D0F97" w:rsidRDefault="001D0F97" w:rsidP="001D0F97">
      <w:pPr>
        <w:suppressAutoHyphens w:val="0"/>
        <w:autoSpaceDE w:val="0"/>
        <w:autoSpaceDN w:val="0"/>
        <w:adjustRightInd w:val="0"/>
        <w:rPr>
          <w:rFonts w:eastAsia="Droid Sans Fallback"/>
          <w:sz w:val="24"/>
          <w:szCs w:val="24"/>
          <w:lang w:val="en-IN"/>
        </w:rPr>
      </w:pPr>
      <w:r w:rsidRPr="001D0F97">
        <w:rPr>
          <w:rFonts w:eastAsia="Droid Sans Fallback"/>
          <w:sz w:val="24"/>
          <w:szCs w:val="24"/>
          <w:lang w:val="en-IN"/>
        </w:rPr>
        <w:t xml:space="preserve"> Application </w:t>
      </w:r>
    </w:p>
    <w:p w:rsidR="001D0F97" w:rsidRDefault="001D0F97" w:rsidP="001D0F97">
      <w:pPr>
        <w:suppressAutoHyphens w:val="0"/>
        <w:autoSpaceDE w:val="0"/>
        <w:autoSpaceDN w:val="0"/>
        <w:adjustRightInd w:val="0"/>
        <w:rPr>
          <w:rFonts w:eastAsia="Droid Sans Fallback"/>
          <w:sz w:val="24"/>
          <w:szCs w:val="24"/>
          <w:lang w:val="en-IN"/>
        </w:rPr>
      </w:pPr>
    </w:p>
    <w:p w:rsidR="001D0F97" w:rsidRPr="001D0F97" w:rsidRDefault="001D0F97" w:rsidP="001D0F97">
      <w:pPr>
        <w:suppressAutoHyphens w:val="0"/>
        <w:autoSpaceDE w:val="0"/>
        <w:autoSpaceDN w:val="0"/>
        <w:adjustRightInd w:val="0"/>
        <w:rPr>
          <w:rFonts w:eastAsia="Droid Sans Fallback"/>
          <w:sz w:val="24"/>
          <w:szCs w:val="24"/>
          <w:lang w:val="en-IN"/>
        </w:rPr>
      </w:pPr>
      <w:r w:rsidRPr="001D0F97">
        <w:rPr>
          <w:rFonts w:eastAsia="Droid Sans Fallback"/>
          <w:sz w:val="24"/>
          <w:szCs w:val="24"/>
          <w:lang w:val="en-IN"/>
        </w:rPr>
        <w:t xml:space="preserve"> The protein folding problem. </w:t>
      </w:r>
    </w:p>
    <w:p w:rsidR="001D0F97" w:rsidRDefault="001D0F97" w:rsidP="001D0F97">
      <w:pPr>
        <w:suppressAutoHyphens w:val="0"/>
        <w:autoSpaceDE w:val="0"/>
        <w:autoSpaceDN w:val="0"/>
        <w:adjustRightInd w:val="0"/>
        <w:rPr>
          <w:rFonts w:eastAsia="Droid Sans Fallback"/>
          <w:sz w:val="24"/>
          <w:szCs w:val="24"/>
          <w:lang w:val="en-IN"/>
        </w:rPr>
      </w:pPr>
    </w:p>
    <w:p w:rsidR="001D0F97" w:rsidRPr="001D0F97" w:rsidRDefault="001D0F97" w:rsidP="001D0F97">
      <w:pPr>
        <w:suppressAutoHyphens w:val="0"/>
        <w:autoSpaceDE w:val="0"/>
        <w:autoSpaceDN w:val="0"/>
        <w:adjustRightInd w:val="0"/>
        <w:rPr>
          <w:rFonts w:eastAsia="Droid Sans Fallback"/>
          <w:sz w:val="24"/>
          <w:szCs w:val="24"/>
          <w:lang w:val="en-IN"/>
        </w:rPr>
      </w:pPr>
      <w:r>
        <w:rPr>
          <w:rFonts w:eastAsia="Droid Sans Fallback"/>
          <w:sz w:val="24"/>
          <w:szCs w:val="24"/>
          <w:lang w:val="en-IN"/>
        </w:rPr>
        <w:t xml:space="preserve"> </w:t>
      </w:r>
      <w:r w:rsidRPr="001D0F97">
        <w:rPr>
          <w:rFonts w:eastAsia="Droid Sans Fallback"/>
          <w:sz w:val="24"/>
          <w:szCs w:val="24"/>
          <w:lang w:val="en-IN"/>
        </w:rPr>
        <w:t xml:space="preserve">Current view of folding mechanisms </w:t>
      </w:r>
    </w:p>
    <w:p w:rsidR="001D0F97" w:rsidRDefault="001D0F97" w:rsidP="001D0F97">
      <w:pPr>
        <w:suppressAutoHyphens w:val="0"/>
        <w:autoSpaceDE w:val="0"/>
        <w:autoSpaceDN w:val="0"/>
        <w:adjustRightInd w:val="0"/>
        <w:rPr>
          <w:rFonts w:eastAsia="Droid Sans Fallback"/>
          <w:sz w:val="24"/>
          <w:szCs w:val="24"/>
          <w:lang w:val="en-IN"/>
        </w:rPr>
      </w:pPr>
    </w:p>
    <w:p w:rsidR="001D0F97" w:rsidRPr="001D0F97" w:rsidRDefault="001D0F97" w:rsidP="001D0F97">
      <w:pPr>
        <w:suppressAutoHyphens w:val="0"/>
        <w:autoSpaceDE w:val="0"/>
        <w:autoSpaceDN w:val="0"/>
        <w:adjustRightInd w:val="0"/>
        <w:rPr>
          <w:rFonts w:eastAsia="Droid Sans Fallback"/>
          <w:sz w:val="24"/>
          <w:szCs w:val="24"/>
          <w:lang w:val="en-IN"/>
        </w:rPr>
      </w:pPr>
      <w:r w:rsidRPr="001D0F97">
        <w:rPr>
          <w:rFonts w:eastAsia="Droid Sans Fallback"/>
          <w:sz w:val="24"/>
          <w:szCs w:val="24"/>
          <w:lang w:val="en-IN"/>
        </w:rPr>
        <w:t xml:space="preserve"> </w:t>
      </w:r>
      <w:r>
        <w:rPr>
          <w:rFonts w:eastAsia="Droid Sans Fallback"/>
          <w:sz w:val="24"/>
          <w:szCs w:val="24"/>
          <w:lang w:val="en-IN"/>
        </w:rPr>
        <w:t xml:space="preserve"> </w:t>
      </w:r>
      <w:r w:rsidRPr="001D0F97">
        <w:rPr>
          <w:rFonts w:eastAsia="Droid Sans Fallback"/>
          <w:sz w:val="24"/>
          <w:szCs w:val="24"/>
          <w:lang w:val="en-IN"/>
        </w:rPr>
        <w:t xml:space="preserve">References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suppressAutoHyphens w:val="0"/>
        <w:autoSpaceDE w:val="0"/>
        <w:autoSpaceDN w:val="0"/>
        <w:adjustRightInd w:val="0"/>
        <w:jc w:val="both"/>
        <w:rPr>
          <w:rFonts w:ascii="Cambria" w:eastAsia="Droid Sans Fallback" w:hAnsi="Cambria" w:cs="Cambria"/>
          <w:color w:val="000000"/>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Introduction </w:t>
      </w:r>
    </w:p>
    <w:p w:rsidR="001D0F97" w:rsidRDefault="001D0F97" w:rsidP="001D0F97">
      <w:pPr>
        <w:suppressAutoHyphens w:val="0"/>
        <w:autoSpaceDE w:val="0"/>
        <w:autoSpaceDN w:val="0"/>
        <w:adjustRightInd w:val="0"/>
        <w:jc w:val="both"/>
        <w:rPr>
          <w:rFonts w:eastAsia="Droid Sans Fallback"/>
          <w:sz w:val="24"/>
          <w:szCs w:val="24"/>
          <w:lang w:val="en-IN"/>
        </w:rPr>
      </w:pPr>
    </w:p>
    <w:p w:rsidR="001D0F97" w:rsidRPr="001D0F97" w:rsidRDefault="001D0F97" w:rsidP="001D0F97">
      <w:pPr>
        <w:suppressAutoHyphens w:val="0"/>
        <w:autoSpaceDE w:val="0"/>
        <w:autoSpaceDN w:val="0"/>
        <w:adjustRightInd w:val="0"/>
        <w:jc w:val="both"/>
        <w:rPr>
          <w:rFonts w:eastAsia="Droid Sans Fallback"/>
          <w:sz w:val="24"/>
          <w:szCs w:val="24"/>
          <w:lang w:val="en-IN"/>
        </w:rPr>
      </w:pPr>
      <w:r w:rsidRPr="001D0F97">
        <w:rPr>
          <w:rFonts w:eastAsia="Droid Sans Fallback"/>
          <w:sz w:val="24"/>
          <w:szCs w:val="24"/>
          <w:lang w:val="en-IN"/>
        </w:rPr>
        <w:t xml:space="preserve">The first computer in the Blue Gene series, Blue Gene/L, developed through a partnership with Lawrence Livermore National Laboratory, cost US$100 million and is intended to scale to speeds in the hundreds of TFLOPS, with a theoretical peak performance of 360 TFLOPS. This is almost ten times as fast as the Earth Simulator, the fastest supercomputer in the world before Blue Gene. In June 2004, two Blue Gene/L prototypes scored in the TOP500 Supercomputer List at the #4 and #8 positions. </w:t>
      </w:r>
    </w:p>
    <w:p w:rsidR="001D0F97" w:rsidRPr="001D0F97" w:rsidRDefault="001D0F97" w:rsidP="001D0F97">
      <w:pPr>
        <w:suppressAutoHyphens w:val="0"/>
        <w:autoSpaceDE w:val="0"/>
        <w:autoSpaceDN w:val="0"/>
        <w:adjustRightInd w:val="0"/>
        <w:jc w:val="both"/>
        <w:rPr>
          <w:rFonts w:eastAsia="Droid Sans Fallback"/>
          <w:sz w:val="24"/>
          <w:szCs w:val="24"/>
          <w:lang w:val="en-IN"/>
        </w:rPr>
      </w:pPr>
      <w:r w:rsidRPr="001D0F97">
        <w:rPr>
          <w:rFonts w:eastAsia="Droid Sans Fallback"/>
          <w:sz w:val="24"/>
          <w:szCs w:val="24"/>
          <w:lang w:val="en-IN"/>
        </w:rPr>
        <w:t xml:space="preserve">On September 29, 2004, IBM announced that a Blue Gene/L prototype at IBM Rochester (Minnesota) had overtaken NEC's Earth Simulator as the fastest computer in the world, with a speed of 36.01 TFLOPS, beating Earth Simulator's 35.86 TFLOPS. The machine later reached a speed of 70.72 TFLOPS. </w:t>
      </w:r>
    </w:p>
    <w:p w:rsidR="001D0F97" w:rsidRPr="001D0F97" w:rsidRDefault="001D0F97" w:rsidP="001D0F97">
      <w:pPr>
        <w:suppressAutoHyphens w:val="0"/>
        <w:autoSpaceDE w:val="0"/>
        <w:autoSpaceDN w:val="0"/>
        <w:adjustRightInd w:val="0"/>
        <w:jc w:val="both"/>
        <w:rPr>
          <w:rFonts w:eastAsia="Droid Sans Fallback"/>
          <w:sz w:val="24"/>
          <w:szCs w:val="24"/>
          <w:lang w:val="en-IN"/>
        </w:rPr>
      </w:pPr>
      <w:r w:rsidRPr="001D0F97">
        <w:rPr>
          <w:rFonts w:eastAsia="Droid Sans Fallback"/>
          <w:sz w:val="24"/>
          <w:szCs w:val="24"/>
          <w:lang w:val="en-IN"/>
        </w:rPr>
        <w:t xml:space="preserve">Linux will be the main operating system for IBM's upcoming family of "Blue Gene" supercomputers--a major endorsement for the operating system and the open-source computing model it represents. The decision to adopt Linux came, in part, as a result of the growing size and strength of the open-source community. Thousands of developers around the world are participating in the evolution of Linux. Creating a new OS inside of IBM would require a massive engineering effort. </w:t>
      </w:r>
    </w:p>
    <w:p w:rsidR="001D0F97" w:rsidRPr="001D0F97" w:rsidRDefault="001D0F97" w:rsidP="001D0F97">
      <w:pPr>
        <w:suppressAutoHyphens w:val="0"/>
        <w:autoSpaceDE w:val="0"/>
        <w:autoSpaceDN w:val="0"/>
        <w:adjustRightInd w:val="0"/>
        <w:jc w:val="both"/>
        <w:rPr>
          <w:rFonts w:eastAsia="Droid Sans Fallback"/>
          <w:sz w:val="24"/>
          <w:szCs w:val="24"/>
          <w:lang w:val="en-IN"/>
        </w:rPr>
      </w:pPr>
      <w:r w:rsidRPr="001D0F97">
        <w:rPr>
          <w:rFonts w:eastAsia="Droid Sans Fallback"/>
          <w:sz w:val="24"/>
          <w:szCs w:val="24"/>
          <w:lang w:val="en-IN"/>
        </w:rPr>
        <w:t xml:space="preserve">On March 24, 2005, the US Department of Energy announced that Blue Gene/L broke its current world speed record, reaching 135.5 TFLOPS. This feat was possible because of doubling the number of racks to 32 with each rack holding 1,024 compute nodes. This is still only half of the final configuration with 65,536 compute nodes. The final Blue Gene/L installation will have a total of 65,536 compute nodes (i.e., 216 nodes) and an additional 1024 I/O nodes. Each compute or IO node is a single ASIC with associated DRAM memory chips. The ASIC integrates two PowerPC 440 embedded processors, a cache sub-system and communication sub-systems. Each node is attached to three parallel communications networks: a 3D toroidal network for peer-to-peer communication between compute nodes, a collective network for collective communication, and a global interrupt network for fast barriers. The I/O nodes, which run the Linux operating </w:t>
      </w:r>
    </w:p>
    <w:p w:rsidR="001D0F97" w:rsidRPr="001D0F97" w:rsidRDefault="001D0F97" w:rsidP="001D0F97">
      <w:pPr>
        <w:suppressAutoHyphens w:val="0"/>
        <w:autoSpaceDE w:val="0"/>
        <w:autoSpaceDN w:val="0"/>
        <w:adjustRightInd w:val="0"/>
        <w:rPr>
          <w:rFonts w:ascii="Cambria" w:eastAsia="Droid Sans Fallback" w:hAnsi="Cambria"/>
          <w:sz w:val="24"/>
          <w:szCs w:val="24"/>
          <w:lang w:val="en-IN"/>
        </w:rPr>
      </w:pPr>
      <w:bookmarkStart w:id="0" w:name="_GoBack"/>
      <w:bookmarkEnd w:id="0"/>
    </w:p>
    <w:p w:rsidR="001D0F97" w:rsidRPr="001D0F97" w:rsidRDefault="001D0F97" w:rsidP="001D0F97">
      <w:pPr>
        <w:pageBreakBefore/>
        <w:suppressAutoHyphens w:val="0"/>
        <w:autoSpaceDE w:val="0"/>
        <w:autoSpaceDN w:val="0"/>
        <w:adjustRightInd w:val="0"/>
        <w:spacing w:after="240"/>
        <w:jc w:val="both"/>
        <w:rPr>
          <w:rFonts w:eastAsia="Droid Sans Fallback"/>
          <w:sz w:val="24"/>
          <w:szCs w:val="24"/>
          <w:lang w:val="en-IN"/>
        </w:rPr>
      </w:pPr>
      <w:r w:rsidRPr="001D0F97">
        <w:rPr>
          <w:rFonts w:eastAsia="Droid Sans Fallback"/>
          <w:sz w:val="24"/>
          <w:szCs w:val="24"/>
          <w:lang w:val="en-IN"/>
        </w:rPr>
        <w:lastRenderedPageBreak/>
        <w:t xml:space="preserve">system, provide communication with the world via an Ethernet network. Finally, a separate and private Ethernet network provides access to any node for configuration, booting and diagnostics. </w:t>
      </w:r>
    </w:p>
    <w:p w:rsidR="001D0F97" w:rsidRPr="001D0F97" w:rsidRDefault="001D0F97" w:rsidP="001D0F97">
      <w:pPr>
        <w:suppressAutoHyphens w:val="0"/>
        <w:autoSpaceDE w:val="0"/>
        <w:autoSpaceDN w:val="0"/>
        <w:adjustRightInd w:val="0"/>
        <w:jc w:val="both"/>
        <w:rPr>
          <w:rFonts w:eastAsia="Droid Sans Fallback"/>
          <w:sz w:val="24"/>
          <w:szCs w:val="24"/>
          <w:lang w:val="en-IN"/>
        </w:rPr>
      </w:pPr>
      <w:r w:rsidRPr="001D0F97">
        <w:rPr>
          <w:rFonts w:eastAsia="Droid Sans Fallback"/>
          <w:sz w:val="24"/>
          <w:szCs w:val="24"/>
          <w:lang w:val="en-IN"/>
        </w:rPr>
        <w:t xml:space="preserve">Blue Gene/L compute nodes use on a minimal operating system supporting a single process thread, and lacking interrupts and virtual memory. To allow multiple programs to run concurrently, compute nodes can be partitioned into electronically isolated sets of nodes. The number of nodes in a partition must be a positive integer power of 2, and must contain at least 25 = 32 nodes. The maximum partition is all nodes in the computer. To run a program on Blue Gene/L, a partition of the computer must first be reserved. The program is then run on all the nodes within the partition, and no other program may access nodes within the partition while it is in use. Upon completion, the partition nodes are released for future programs to use. </w:t>
      </w:r>
    </w:p>
    <w:p w:rsidR="001D0F97" w:rsidRPr="001D0F97" w:rsidRDefault="001D0F97" w:rsidP="001D0F97">
      <w:pPr>
        <w:suppressAutoHyphens w:val="0"/>
        <w:autoSpaceDE w:val="0"/>
        <w:autoSpaceDN w:val="0"/>
        <w:adjustRightInd w:val="0"/>
        <w:jc w:val="both"/>
        <w:rPr>
          <w:rFonts w:eastAsia="Droid Sans Fallback"/>
          <w:sz w:val="24"/>
          <w:szCs w:val="24"/>
          <w:lang w:val="en-IN"/>
        </w:rPr>
      </w:pPr>
      <w:r w:rsidRPr="001D0F97">
        <w:rPr>
          <w:rFonts w:eastAsia="Droid Sans Fallback"/>
          <w:sz w:val="24"/>
          <w:szCs w:val="24"/>
          <w:lang w:val="en-IN"/>
        </w:rPr>
        <w:t xml:space="preserve">With so many nodes, components will be failing frequently. Thus, the system will be able to electrically isolate faulty hardware to allow the machine to continue to run.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r w:rsidRPr="001D0F97">
        <w:rPr>
          <w:rFonts w:eastAsia="Droid Sans Fallback"/>
          <w:sz w:val="24"/>
          <w:szCs w:val="24"/>
          <w:lang w:val="en-IN"/>
        </w:rPr>
        <w:t xml:space="preserve">In public relations terms, it is being positioned as the successor of IBM's Deep Blue chess computer; however it bears little architectural resemblance to Deep Blue. </w:t>
      </w: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Applications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proofErr w:type="spellStart"/>
      <w:r w:rsidRPr="001D0F97">
        <w:rPr>
          <w:rFonts w:eastAsia="Droid Sans Fallback"/>
          <w:sz w:val="23"/>
          <w:szCs w:val="23"/>
          <w:lang w:val="en-IN"/>
        </w:rPr>
        <w:t>Veselin</w:t>
      </w:r>
      <w:proofErr w:type="spellEnd"/>
      <w:r w:rsidRPr="001D0F97">
        <w:rPr>
          <w:rFonts w:eastAsia="Droid Sans Fallback"/>
          <w:sz w:val="23"/>
          <w:szCs w:val="23"/>
          <w:lang w:val="en-IN"/>
        </w:rPr>
        <w:t xml:space="preserve"> </w:t>
      </w:r>
      <w:proofErr w:type="spellStart"/>
      <w:r w:rsidRPr="001D0F97">
        <w:rPr>
          <w:rFonts w:eastAsia="Droid Sans Fallback"/>
          <w:sz w:val="23"/>
          <w:szCs w:val="23"/>
          <w:lang w:val="en-IN"/>
        </w:rPr>
        <w:t>Topalov</w:t>
      </w:r>
      <w:proofErr w:type="spellEnd"/>
      <w:r w:rsidRPr="001D0F97">
        <w:rPr>
          <w:rFonts w:eastAsia="Droid Sans Fallback"/>
          <w:sz w:val="23"/>
          <w:szCs w:val="23"/>
          <w:lang w:val="en-IN"/>
        </w:rPr>
        <w:t xml:space="preserve">, the challenger to the World Chess Champion title in 2010, confirmed in an interview that he had used a Blue Gene/P supercomputer during his preparation for the match.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The Blue Gene/P computer has been used to simulate approximately one percent of a human cerebral cortex, containing 1.6 billion neurons with approximately 9 trillion connections.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The IBM </w:t>
      </w:r>
      <w:proofErr w:type="spellStart"/>
      <w:r w:rsidRPr="001D0F97">
        <w:rPr>
          <w:rFonts w:eastAsia="Droid Sans Fallback"/>
          <w:sz w:val="23"/>
          <w:szCs w:val="23"/>
          <w:lang w:val="en-IN"/>
        </w:rPr>
        <w:t>Kittyhawk</w:t>
      </w:r>
      <w:proofErr w:type="spellEnd"/>
      <w:r w:rsidRPr="001D0F97">
        <w:rPr>
          <w:rFonts w:eastAsia="Droid Sans Fallback"/>
          <w:sz w:val="23"/>
          <w:szCs w:val="23"/>
          <w:lang w:val="en-IN"/>
        </w:rPr>
        <w:t xml:space="preserve"> project team has ported Linux to the compute nodes and demonstrated generic Web 2.0 workloads running at scale on a Blue Gene/P. Their paper, published in the ACM Operating Systems Review, describes a kernel driver that tunnels Ethernet over the tree network, which results in all-to-all TCP/IP connectivity. Running standard Linux software like MySQL, their performance results on </w:t>
      </w:r>
      <w:proofErr w:type="spellStart"/>
      <w:r w:rsidRPr="001D0F97">
        <w:rPr>
          <w:rFonts w:eastAsia="Droid Sans Fallback"/>
          <w:sz w:val="23"/>
          <w:szCs w:val="23"/>
          <w:lang w:val="en-IN"/>
        </w:rPr>
        <w:t>SpecJBB</w:t>
      </w:r>
      <w:proofErr w:type="spellEnd"/>
      <w:r w:rsidRPr="001D0F97">
        <w:rPr>
          <w:rFonts w:eastAsia="Droid Sans Fallback"/>
          <w:sz w:val="23"/>
          <w:szCs w:val="23"/>
          <w:lang w:val="en-IN"/>
        </w:rPr>
        <w:t xml:space="preserve"> rank among the highest on record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In 2011, a Rutgers University / IBM / University of Texas team linked the KAUST Shah </w:t>
      </w:r>
      <w:proofErr w:type="spellStart"/>
      <w:r w:rsidRPr="001D0F97">
        <w:rPr>
          <w:rFonts w:eastAsia="Droid Sans Fallback"/>
          <w:sz w:val="23"/>
          <w:szCs w:val="23"/>
          <w:lang w:val="en-IN"/>
        </w:rPr>
        <w:t>een</w:t>
      </w:r>
      <w:proofErr w:type="spellEnd"/>
      <w:r w:rsidRPr="001D0F97">
        <w:rPr>
          <w:rFonts w:eastAsia="Droid Sans Fallback"/>
          <w:sz w:val="23"/>
          <w:szCs w:val="23"/>
          <w:lang w:val="en-IN"/>
        </w:rPr>
        <w:t xml:space="preserve"> installation together with a Blue Gene/P installation at the IBM Watson Research </w:t>
      </w:r>
      <w:proofErr w:type="spellStart"/>
      <w:r w:rsidRPr="001D0F97">
        <w:rPr>
          <w:rFonts w:eastAsia="Droid Sans Fallback"/>
          <w:sz w:val="23"/>
          <w:szCs w:val="23"/>
          <w:lang w:val="en-IN"/>
        </w:rPr>
        <w:t>Center</w:t>
      </w:r>
      <w:proofErr w:type="spellEnd"/>
      <w:r w:rsidRPr="001D0F97">
        <w:rPr>
          <w:rFonts w:eastAsia="Droid Sans Fallback"/>
          <w:sz w:val="23"/>
          <w:szCs w:val="23"/>
          <w:lang w:val="en-IN"/>
        </w:rPr>
        <w:t xml:space="preserve"> into a "federated high performance computing cloud", winning the IEEE SCALE 2011 challenge with an oil reservoir optimization application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Technical Details </w:t>
      </w:r>
    </w:p>
    <w:p w:rsidR="001D0F97" w:rsidRPr="001D0F97" w:rsidRDefault="001D0F97" w:rsidP="001D0F97">
      <w:pPr>
        <w:suppressAutoHyphens w:val="0"/>
        <w:autoSpaceDE w:val="0"/>
        <w:autoSpaceDN w:val="0"/>
        <w:adjustRightInd w:val="0"/>
        <w:jc w:val="both"/>
        <w:rPr>
          <w:rFonts w:eastAsia="Droid Sans Fallback"/>
          <w:sz w:val="28"/>
          <w:szCs w:val="28"/>
          <w:lang w:val="en-IN"/>
        </w:rPr>
      </w:pPr>
      <w:r w:rsidRPr="001D0F97">
        <w:rPr>
          <w:rFonts w:eastAsia="Droid Sans Fallback"/>
          <w:b/>
          <w:bCs/>
          <w:sz w:val="28"/>
          <w:szCs w:val="28"/>
          <w:lang w:val="en-IN"/>
        </w:rPr>
        <w:t xml:space="preserve">The performance spectrum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In computing, FLOPS is an abbreviation of </w:t>
      </w:r>
      <w:proofErr w:type="spellStart"/>
      <w:r w:rsidRPr="001D0F97">
        <w:rPr>
          <w:rFonts w:eastAsia="Droid Sans Fallback"/>
          <w:sz w:val="23"/>
          <w:szCs w:val="23"/>
          <w:lang w:val="en-IN"/>
        </w:rPr>
        <w:t>FLoating</w:t>
      </w:r>
      <w:proofErr w:type="spellEnd"/>
      <w:r w:rsidRPr="001D0F97">
        <w:rPr>
          <w:rFonts w:eastAsia="Droid Sans Fallback"/>
          <w:sz w:val="23"/>
          <w:szCs w:val="23"/>
          <w:lang w:val="en-IN"/>
        </w:rPr>
        <w:t xml:space="preserve"> point Operations Per Second. This is used as a measure of a computer's performance, especially in fields of scientific calculations that make heavy use of floating point calculations. (Note: a hertz is a cycle (or operation) per second. Compare to MIPS -- million instructions per second.) One should speak in the singular of a FLOPS and not of a FLOP, although the latter is frequently encountered. The final S stands for second and does not indicate a plural. Computing devices exhibit an enormous range of performance levels in floating-point applications, so it makes sense to introduce larger units than the FLOPS. The standard SI prefixes can be used for this purpose, resulting in such units as the </w:t>
      </w:r>
      <w:proofErr w:type="spellStart"/>
      <w:r w:rsidRPr="001D0F97">
        <w:rPr>
          <w:rFonts w:eastAsia="Droid Sans Fallback"/>
          <w:sz w:val="23"/>
          <w:szCs w:val="23"/>
          <w:lang w:val="en-IN"/>
        </w:rPr>
        <w:t>megaFLOPS</w:t>
      </w:r>
      <w:proofErr w:type="spellEnd"/>
      <w:r w:rsidRPr="001D0F97">
        <w:rPr>
          <w:rFonts w:eastAsia="Droid Sans Fallback"/>
          <w:sz w:val="23"/>
          <w:szCs w:val="23"/>
          <w:lang w:val="en-IN"/>
        </w:rPr>
        <w:t xml:space="preserve"> (MFLOPS, 106 FLOPS), the </w:t>
      </w:r>
      <w:proofErr w:type="spellStart"/>
      <w:r w:rsidRPr="001D0F97">
        <w:rPr>
          <w:rFonts w:eastAsia="Droid Sans Fallback"/>
          <w:sz w:val="23"/>
          <w:szCs w:val="23"/>
          <w:lang w:val="en-IN"/>
        </w:rPr>
        <w:t>gigaFLOPS</w:t>
      </w:r>
      <w:proofErr w:type="spellEnd"/>
      <w:r w:rsidRPr="001D0F97">
        <w:rPr>
          <w:rFonts w:eastAsia="Droid Sans Fallback"/>
          <w:sz w:val="23"/>
          <w:szCs w:val="23"/>
          <w:lang w:val="en-IN"/>
        </w:rPr>
        <w:t xml:space="preserve"> (GFLOPS, 109 FLOPS), the </w:t>
      </w:r>
      <w:proofErr w:type="spellStart"/>
      <w:r w:rsidRPr="001D0F97">
        <w:rPr>
          <w:rFonts w:eastAsia="Droid Sans Fallback"/>
          <w:sz w:val="23"/>
          <w:szCs w:val="23"/>
          <w:lang w:val="en-IN"/>
        </w:rPr>
        <w:t>teraFLOPS</w:t>
      </w:r>
      <w:proofErr w:type="spellEnd"/>
      <w:r w:rsidRPr="001D0F97">
        <w:rPr>
          <w:rFonts w:eastAsia="Droid Sans Fallback"/>
          <w:sz w:val="23"/>
          <w:szCs w:val="23"/>
          <w:lang w:val="en-IN"/>
        </w:rPr>
        <w:t xml:space="preserve"> (TFLOPS, 1012 FLOPS), and the </w:t>
      </w:r>
      <w:proofErr w:type="spellStart"/>
      <w:r w:rsidRPr="001D0F97">
        <w:rPr>
          <w:rFonts w:eastAsia="Droid Sans Fallback"/>
          <w:sz w:val="23"/>
          <w:szCs w:val="23"/>
          <w:lang w:val="en-IN"/>
        </w:rPr>
        <w:t>petaFLOPS</w:t>
      </w:r>
      <w:proofErr w:type="spellEnd"/>
      <w:r w:rsidRPr="001D0F97">
        <w:rPr>
          <w:rFonts w:eastAsia="Droid Sans Fallback"/>
          <w:sz w:val="23"/>
          <w:szCs w:val="23"/>
          <w:lang w:val="en-IN"/>
        </w:rPr>
        <w:t xml:space="preserve"> (PFLOPS, 1015 FLOPS).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A cheap but modern desktop computer using, for example, a Pentium 4 or Athlon 64 CPU, typically runs at a clock frequency in excess of 2 GHz and provides computational performance in the range of a few GFLOPS. Even some video game consoles of the late 1990s' vintage, such as the </w:t>
      </w:r>
      <w:proofErr w:type="spellStart"/>
      <w:r w:rsidRPr="001D0F97">
        <w:rPr>
          <w:rFonts w:eastAsia="Droid Sans Fallback"/>
          <w:sz w:val="23"/>
          <w:szCs w:val="23"/>
          <w:lang w:val="en-IN"/>
        </w:rPr>
        <w:t>Gamecube</w:t>
      </w:r>
      <w:proofErr w:type="spellEnd"/>
      <w:r w:rsidRPr="001D0F97">
        <w:rPr>
          <w:rFonts w:eastAsia="Droid Sans Fallback"/>
          <w:sz w:val="23"/>
          <w:szCs w:val="23"/>
          <w:lang w:val="en-IN"/>
        </w:rPr>
        <w:t xml:space="preserve"> and Dreamcast had performance in excess of one GFLOPS .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The original supercomputer, the Cray-1, was set up at Los Alamos National Laboratory in 1976. The Cray-1 was capable of 80 MFLOPS (or, according to another source, 138–250 MFLOPS). In fewer than 30 years since then, the computational speed of supercomputers has jumped a millionfold.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The fastest computer in the world as of November 5, 2004, the IBM Blue Gene supercomputer, measures 70.72 TFLOPS. This supercomputer was a prototype of the Blue Gene/L machine IBM is building for the Lawrence Livermore National Laboratory in California. During a speed test on 24 March 2005, it was rated at 135.5 TFLOPS. Blue Gene's new record was achieved by doubling the number of current racks to 32. Each rack holds 1,024 processors, yet the chips are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lastRenderedPageBreak/>
        <w:t xml:space="preserve">the same as those found in high-end computers. The complete version will have a total of 64 racks and a theoretical speed measured at 360 TFLOPS.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Major features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The Blue Gene/L supercomputer was unique in the following aspects: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Trading the speed of processors for lower power consumption. Blue Gene/L used low frequency and low power embedded PowerPC cores with floating point accelerators. While the performance of each chip was relatively low, the system could achieve better performance to energy ratio, for applications that could use larger numbers of nodes.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Dual processors per node with two working modes: co-processor mode where one processor handles computation and the other handles communication; and virtual-node mode, where both processors are available to run user code, but the processors share both the computation and the communication load.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System-on-a-chip design. All node components were embedded on one chip, with the exception of 512 MB external DRAM.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A large number of nodes (scalable in increments of 1024 up to at least 65,536)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Three-dimensional torus interconnect with auxiliary networks for global communications (broadcast and reductions), I/O, and management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lang w:val="en-IN"/>
        </w:rPr>
        <w:t xml:space="preserve"> </w:t>
      </w:r>
      <w:r w:rsidRPr="001D0F97">
        <w:rPr>
          <w:rFonts w:eastAsia="Droid Sans Fallback"/>
          <w:sz w:val="23"/>
          <w:szCs w:val="23"/>
          <w:lang w:val="en-IN"/>
        </w:rPr>
        <w:t xml:space="preserve">Lightweight OS per node for minimum system overhead (system noise).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Architecture Details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Blue Gene/L (BG/L) is a scientific and engineering, message-passing, supercomputer that IBM is developing with partial funding from the U.S. Department of Energy Lawrence Livermore National Laboratory. A 64K node system is scheduled to be delivered to Livermore, while a 20K node system will be installed at the IBM T.J. Watson Research </w:t>
      </w:r>
      <w:proofErr w:type="spellStart"/>
      <w:r w:rsidRPr="001D0F97">
        <w:rPr>
          <w:rFonts w:eastAsia="Droid Sans Fallback"/>
          <w:sz w:val="23"/>
          <w:szCs w:val="23"/>
          <w:lang w:val="en-IN"/>
        </w:rPr>
        <w:t>Center</w:t>
      </w:r>
      <w:proofErr w:type="spellEnd"/>
      <w:r w:rsidRPr="001D0F97">
        <w:rPr>
          <w:rFonts w:eastAsia="Droid Sans Fallback"/>
          <w:sz w:val="23"/>
          <w:szCs w:val="23"/>
          <w:lang w:val="en-IN"/>
        </w:rPr>
        <w:t xml:space="preserve"> for use in life sciences computing, primarily protein folding.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BG/L is built using system-on-a-chip technology in which all functions of a node (except for main memory) are integrated onto a single ASIC. This ASIC includes two 32- bit Power PC cores (the 440); the 440 was developed for embedded applications. Associated with each core is a 64- bit “double” floating-point unit (FPU) that can operate in SIMD mode. Each (single) FPU can execute up to two multiply-adds per cycle, meaning that the peak performance of the chip is 8 floating-point operations per cycle. Each 440 has its own instruction and data caches (each 32KB), a small L2 cache that primarily serves as a pre-fetch buffer, a 4MB shared L3 cache built from embedded DRAM, and a DDR memory controller. In addition, the logic for five different networks is integrated onto the ASIC. These networks include a JTAG control and monitoring network, a </w:t>
      </w:r>
      <w:proofErr w:type="spellStart"/>
      <w:r w:rsidRPr="001D0F97">
        <w:rPr>
          <w:rFonts w:eastAsia="Droid Sans Fallback"/>
          <w:sz w:val="23"/>
          <w:szCs w:val="23"/>
          <w:lang w:val="en-IN"/>
        </w:rPr>
        <w:t>Gbit</w:t>
      </w:r>
      <w:proofErr w:type="spellEnd"/>
      <w:r w:rsidRPr="001D0F97">
        <w:rPr>
          <w:rFonts w:eastAsia="Droid Sans Fallback"/>
          <w:sz w:val="23"/>
          <w:szCs w:val="23"/>
          <w:lang w:val="en-IN"/>
        </w:rPr>
        <w:t xml:space="preserve"> Ethernet macro, a global barrier and alert network, a “tree” network for broadcasts and combining operations such as those used in the MPI collective communications library, and a three dimensional torus network for point-point communications between nodes. The ASIC can be used as either an I/O node or as a Compute node. I/O nodes have their Ethernet macro connected to an external switch enabling connectivity to hosts, however they do not use the torus network. Compute nodes do not connect their Ethernet, and talk to the I/O nodes over the tree network. The Livermore machine will have 64 Compute nodes for each I/O node. I/O nodes will have at least 512MB and Compute nodes will have at least 256 MB of memory, depending on the cost of memory at the time of delivery. Because of the high level of integration and relatively low target clock speed (700 MHz target), the system is designed to deliver unprecedented aggregate performance at both low cost and low power consumption. At this clock rate, each node has a peak of 5.6 </w:t>
      </w:r>
      <w:proofErr w:type="spellStart"/>
      <w:r w:rsidRPr="001D0F97">
        <w:rPr>
          <w:rFonts w:eastAsia="Droid Sans Fallback"/>
          <w:sz w:val="23"/>
          <w:szCs w:val="23"/>
          <w:lang w:val="en-IN"/>
        </w:rPr>
        <w:t>GFlops</w:t>
      </w:r>
      <w:proofErr w:type="spellEnd"/>
      <w:r w:rsidRPr="001D0F97">
        <w:rPr>
          <w:rFonts w:eastAsia="Droid Sans Fallback"/>
          <w:sz w:val="23"/>
          <w:szCs w:val="23"/>
          <w:lang w:val="en-IN"/>
        </w:rPr>
        <w:t xml:space="preserve">, while the 64K node system has a peak of 367 Tera Flops. Each ASIC will consume only 12 watts of power. Because of the low power, a very high density of packaging can be </w:t>
      </w:r>
      <w:proofErr w:type="spellStart"/>
      <w:r w:rsidRPr="001D0F97">
        <w:rPr>
          <w:rFonts w:eastAsia="Droid Sans Fallback"/>
          <w:sz w:val="23"/>
          <w:szCs w:val="23"/>
          <w:lang w:val="en-IN"/>
        </w:rPr>
        <w:t>achieved.Two</w:t>
      </w:r>
      <w:proofErr w:type="spellEnd"/>
      <w:r w:rsidRPr="001D0F97">
        <w:rPr>
          <w:rFonts w:eastAsia="Droid Sans Fallback"/>
          <w:sz w:val="23"/>
          <w:szCs w:val="23"/>
          <w:lang w:val="en-IN"/>
        </w:rPr>
        <w:t xml:space="preserve"> compute ASICs and their associated memory are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lastRenderedPageBreak/>
        <w:t xml:space="preserve">packaged onto a compute card, 16 compute cards are mounted on a node card, and 16 node cards are packaged in a 512 node midplane. Two midplanes are packaged in a 1024 node rack, which is about the size of a large refrigerator. Because the 440 core does not contain shared memory support, the L1 caches of the two cores on the same ASIC are not coherent. Memory is consistent from the L2 on out, but software is required to appropriately manage the L1’s. The system can operate in one of two modes. In communications coprocessor mode, one core is responsible for computing while the other core handles most messaging functions. Careful software coordination is required in this mode to overcome the lack of L1 coherence. When configured in this mode, the peak performance of the 64K node system is 183 Tera Flops. In the second mode, “virtual node” mode, each core has its own memory space and each core is responsible for both computing and message handling; the system has two sets of network injection and reception FIFOs, so that both cores can simultaneously access the network interfaces.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Design and Analysis of the Blue Gene/L Torus Interconnection Network </w:t>
      </w:r>
    </w:p>
    <w:p w:rsidR="001D0F97" w:rsidRPr="001D0F97" w:rsidRDefault="001D0F97" w:rsidP="001D0F97">
      <w:pPr>
        <w:suppressAutoHyphens w:val="0"/>
        <w:autoSpaceDE w:val="0"/>
        <w:autoSpaceDN w:val="0"/>
        <w:adjustRightInd w:val="0"/>
        <w:jc w:val="both"/>
        <w:rPr>
          <w:rFonts w:eastAsia="Droid Sans Fallback"/>
          <w:sz w:val="26"/>
          <w:szCs w:val="26"/>
          <w:lang w:val="en-IN"/>
        </w:rPr>
      </w:pPr>
      <w:r w:rsidRPr="001D0F97">
        <w:rPr>
          <w:rFonts w:eastAsia="Droid Sans Fallback"/>
          <w:b/>
          <w:bCs/>
          <w:sz w:val="26"/>
          <w:szCs w:val="26"/>
          <w:lang w:val="en-IN"/>
        </w:rPr>
        <w:t xml:space="preserve">Torus Network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Many of the design decisions were driven by simulation performance studies. The torus network uses dynamic routing with virtual cut through buffering. A torus was chosen because it provides high bandwidth nearest </w:t>
      </w:r>
      <w:proofErr w:type="spellStart"/>
      <w:r w:rsidRPr="001D0F97">
        <w:rPr>
          <w:rFonts w:eastAsia="Droid Sans Fallback"/>
          <w:sz w:val="23"/>
          <w:szCs w:val="23"/>
          <w:lang w:val="en-IN"/>
        </w:rPr>
        <w:t>neighbor</w:t>
      </w:r>
      <w:proofErr w:type="spellEnd"/>
      <w:r w:rsidRPr="001D0F97">
        <w:rPr>
          <w:rFonts w:eastAsia="Droid Sans Fallback"/>
          <w:sz w:val="23"/>
          <w:szCs w:val="23"/>
          <w:lang w:val="en-IN"/>
        </w:rPr>
        <w:t xml:space="preserve"> connectivity, which is common in scientific applications, but also for its scalability, cost and packaging considerations. A torus requires no long cables and, because the network is integrated onto the same chip that does computing, no separate switch is required. Previous supercomputers such as the Cray T3E have also used torus networks. Torus packets are variable in size – from 32 to 256 bytes in increments of 32 byte chunks. The first eight bytes of each packet contain link level protocol information (e.g., sequence number) and routing information including destination, virtual channel and size. A 24-bit CRC is appended to each packet, along with a one byte valid indicator. The CRC permits link level checking of each packet received, and a timeout mechanism is used for retransmission of corrupted packets. The error detection and recovery protocol is similar to that used in IBM SP interconnection networks as well as in the HIPPI standard. For routing, the header includes six “hint” bits, which indicate in which directions the packet may be routed. For example, hint bits of 100100 means that the packet can be routed in the x+ and y- directions. Either the x+ or x- hint bits, but not both, may be set. If no x hops are required, the x hint bits are set to 0. Each node maintains registers that contain the coordinates of its </w:t>
      </w:r>
      <w:proofErr w:type="spellStart"/>
      <w:r w:rsidRPr="001D0F97">
        <w:rPr>
          <w:rFonts w:eastAsia="Droid Sans Fallback"/>
          <w:sz w:val="23"/>
          <w:szCs w:val="23"/>
          <w:lang w:val="en-IN"/>
        </w:rPr>
        <w:t>neighbors</w:t>
      </w:r>
      <w:proofErr w:type="spellEnd"/>
      <w:r w:rsidRPr="001D0F97">
        <w:rPr>
          <w:rFonts w:eastAsia="Droid Sans Fallback"/>
          <w:sz w:val="23"/>
          <w:szCs w:val="23"/>
          <w:lang w:val="en-IN"/>
        </w:rPr>
        <w:t>, and hint bits are set to 0 when a packet leaves a node in a direction such that it will arrive at its destination in that dimension. These hint bits appear early in the header, so that arbitration may be efficiently pipelined. The hint bits can be initialized either by software or hardware; if done by hardware, a set of two registers per dimension is used to determine the appropriate directions. These registers can be configured to provide minimal hop routing. The routing is accomplished entirely by examining the hint bits and virtual channels, i.e., there are no routing tables. Packets may be either dynamically or statically (</w:t>
      </w:r>
      <w:proofErr w:type="spellStart"/>
      <w:r w:rsidRPr="001D0F97">
        <w:rPr>
          <w:rFonts w:eastAsia="Droid Sans Fallback"/>
          <w:sz w:val="23"/>
          <w:szCs w:val="23"/>
          <w:lang w:val="en-IN"/>
        </w:rPr>
        <w:t>xyz</w:t>
      </w:r>
      <w:proofErr w:type="spellEnd"/>
      <w:r w:rsidRPr="001D0F97">
        <w:rPr>
          <w:rFonts w:eastAsia="Droid Sans Fallback"/>
          <w:sz w:val="23"/>
          <w:szCs w:val="23"/>
          <w:lang w:val="en-IN"/>
        </w:rPr>
        <w:t>) routed. Besides point-</w:t>
      </w:r>
      <w:proofErr w:type="spellStart"/>
      <w:r w:rsidRPr="001D0F97">
        <w:rPr>
          <w:rFonts w:eastAsia="Droid Sans Fallback"/>
          <w:sz w:val="23"/>
          <w:szCs w:val="23"/>
          <w:lang w:val="en-IN"/>
        </w:rPr>
        <w:t>topoint</w:t>
      </w:r>
      <w:proofErr w:type="spellEnd"/>
      <w:r w:rsidRPr="001D0F97">
        <w:rPr>
          <w:rFonts w:eastAsia="Droid Sans Fallback"/>
          <w:sz w:val="23"/>
          <w:szCs w:val="23"/>
          <w:lang w:val="en-IN"/>
        </w:rPr>
        <w:t xml:space="preserve"> packets, a bit in the header may be set that causes a packet to be broadcast down any dimension. The hardware does not have the capability to route around “dead” nodes or links, however, software can set the hint bits appropriately so that such nodes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are avoided; full connectivity can be maintained when there are up to three faulty nodes, provided they are not co-linear.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The torus logic consists of three major units, a processor interface, a send unit and a receive unit. The processor interface consists of network injection and reception FIFOs. Access to these FIFOs is via the double FPU registers, i.e., data is loaded into the FIFOs via 128 bit memory mapped stores from a pair of FPU registers, and data is read from the FIFOs via 128 bit loads to the FPU registers. There are a total of 8 injection FIFOs organized into two groups: two high priority (for inter-node OS messages) and six normal priority FIFOs, which are sufficient for nearest </w:t>
      </w:r>
      <w:proofErr w:type="spellStart"/>
      <w:r w:rsidRPr="001D0F97">
        <w:rPr>
          <w:rFonts w:eastAsia="Droid Sans Fallback"/>
          <w:sz w:val="23"/>
          <w:szCs w:val="23"/>
          <w:lang w:val="en-IN"/>
        </w:rPr>
        <w:t>neighbor</w:t>
      </w:r>
      <w:proofErr w:type="spellEnd"/>
      <w:r w:rsidRPr="001D0F97">
        <w:rPr>
          <w:rFonts w:eastAsia="Droid Sans Fallback"/>
          <w:sz w:val="23"/>
          <w:szCs w:val="23"/>
          <w:lang w:val="en-IN"/>
        </w:rPr>
        <w:t xml:space="preserve"> connectivity. Packets in all FIFOs can go out in any direction. Each group of reception FIFOs contains 7 FIFOs, one high priority and one dedicated to each of the incoming directions. More specifically, there is a dedicated bus between each receiver and its corresponding reception FIFO. Up to six injection and six reception FIFOs may be simultaneously active. Each of the six receivers, as shown in Figure 1, has four virtual channels (VCs). Multiple VCs help reduce head-</w:t>
      </w:r>
      <w:proofErr w:type="spellStart"/>
      <w:r w:rsidRPr="001D0F97">
        <w:rPr>
          <w:rFonts w:eastAsia="Droid Sans Fallback"/>
          <w:sz w:val="23"/>
          <w:szCs w:val="23"/>
          <w:lang w:val="en-IN"/>
        </w:rPr>
        <w:t>ofline</w:t>
      </w:r>
      <w:proofErr w:type="spellEnd"/>
      <w:r w:rsidRPr="001D0F97">
        <w:rPr>
          <w:rFonts w:eastAsia="Droid Sans Fallback"/>
          <w:sz w:val="23"/>
          <w:szCs w:val="23"/>
          <w:lang w:val="en-IN"/>
        </w:rPr>
        <w:t xml:space="preserve"> blocking [4], but in addition, mesh networks including tori with dynamic routing, can deadlock unless appropriate additional “escape” VCs are provided. We use a recent, elegant solution to this problem, the “bubble” escape VC as proposed in BG/L has two dynamic VCs, one bubble escape VC that can be used both for deadlock prevention and static routing, and one high priority bubble VC. Each VC has 1 KB of buffering, enough for four full-sized packets. In addition to the VCs, the receivers include a “bypass” channel so that packets can flow through a node without entering the VC buffers, under appropriate circumstances. Dynamic packets can only enter the bubble escape VC if no valid dynamic VCs are available. A token flow control algorithm is used to prevent overflowing the VC buffers. Each token represents a 32B chunk. For simplicity in the arbiters, a VC is marked as unavailable unless 8 tokens (a full-sized packet) are available. However, token counts for packets on dynamic VCs are incremented and decremented according to the size of the packet. The bubble rules, as outlined in require that tokens for one full-sized packet are required for a packet already on the bubble VC to advance, but that tokens for two full-sized packets are required for a packet to enter the bubble VC, upon either injection, a turn into a new direction, or when a dynamic VC packet enters the bubble. This rule ensures that buffer space for one packet is always available after an insertion and thus some packet can always, eventually move. However,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we discovered that this rule is incomplete for variable-sized packets when our simulator deadlocked using this rule. With this rule, the remaining free space for one full-sized packet can become fragmented resulting in a potential deadlock. To prevent this, the bubble rules are simply modified so that each packet on the bubble is accounted for as if it were a </w:t>
      </w:r>
      <w:proofErr w:type="spellStart"/>
      <w:r w:rsidRPr="001D0F97">
        <w:rPr>
          <w:rFonts w:eastAsia="Droid Sans Fallback"/>
          <w:sz w:val="23"/>
          <w:szCs w:val="23"/>
          <w:lang w:val="en-IN"/>
        </w:rPr>
        <w:t>fullsized</w:t>
      </w:r>
      <w:proofErr w:type="spellEnd"/>
      <w:r w:rsidRPr="001D0F97">
        <w:rPr>
          <w:rFonts w:eastAsia="Droid Sans Fallback"/>
          <w:sz w:val="23"/>
          <w:szCs w:val="23"/>
          <w:lang w:val="en-IN"/>
        </w:rPr>
        <w:t xml:space="preserve"> (8 chunk) packet. Eight byte acknowledgement (ack-only) or combined token-acknowledgement (token-ack) packets are returned when packets are either successfully received, or when space has freed up in a VC. Acknowledgements permit the torus send units to delete packets from their retransmission FIFOs, which are used in the error recovery protocol. The send units also arbitrate between requests from the receiver and injection units. Due to the density of packaging and pin constraints, each link is bit serial. The torus is internally clocked at </w:t>
      </w:r>
      <w:proofErr w:type="spellStart"/>
      <w:r w:rsidRPr="001D0F97">
        <w:rPr>
          <w:rFonts w:eastAsia="Droid Sans Fallback"/>
          <w:sz w:val="23"/>
          <w:szCs w:val="23"/>
          <w:lang w:val="en-IN"/>
        </w:rPr>
        <w:t>onefourth</w:t>
      </w:r>
      <w:proofErr w:type="spellEnd"/>
      <w:r w:rsidRPr="001D0F97">
        <w:rPr>
          <w:rFonts w:eastAsia="Droid Sans Fallback"/>
          <w:sz w:val="23"/>
          <w:szCs w:val="23"/>
          <w:lang w:val="en-IN"/>
        </w:rPr>
        <w:t xml:space="preserve"> the rate of the processor, so at the target 700 MHz clock rate, each torus link is 175 MB/sec. There are sufficient internal busses so that each of the 6 outgoing and 6 incoming links can be simultaneously busy; thus each node can be sending and receiving 1.05 GB/sec. In addition, there are two transfer busses (paths) coming out of each receiver that connect with the senders. Thus, a single receiver can have up to 4 simultaneous transfers, e.g., one to its normal reception FIFO, one to the high priority reception FIFO, and two to two different senders.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Arbitration is distributed and pipelined, but occurs in three basic phases. It generalizes an approach used in [3] and represents </w:t>
      </w:r>
      <w:proofErr w:type="spellStart"/>
      <w:r w:rsidRPr="001D0F97">
        <w:rPr>
          <w:rFonts w:eastAsia="Droid Sans Fallback"/>
          <w:sz w:val="23"/>
          <w:szCs w:val="23"/>
          <w:lang w:val="en-IN"/>
        </w:rPr>
        <w:t>tradeoffs</w:t>
      </w:r>
      <w:proofErr w:type="spellEnd"/>
      <w:r w:rsidRPr="001D0F97">
        <w:rPr>
          <w:rFonts w:eastAsia="Droid Sans Fallback"/>
          <w:sz w:val="23"/>
          <w:szCs w:val="23"/>
          <w:lang w:val="en-IN"/>
        </w:rPr>
        <w:t xml:space="preserve"> between complexity, performance, and ability to meet timing constraints. First, each packet at the head of the injection or VC FIFOs decides in which direction and on what VC it prefers to move. For statically routed packets, there is only one valid choice, but dynamically routed packets may have many choices. The preferred direction and VC are selected using a modified “Join the Shortest Queue” (JSQ) algorithm as follows. The senders provide the receivers and injection FIFOs with a bit indicating both link and token availability for each VC in each direction. This bit vector is and-</w:t>
      </w:r>
      <w:proofErr w:type="spellStart"/>
      <w:r w:rsidRPr="001D0F97">
        <w:rPr>
          <w:rFonts w:eastAsia="Droid Sans Fallback"/>
          <w:sz w:val="23"/>
          <w:szCs w:val="23"/>
          <w:lang w:val="en-IN"/>
        </w:rPr>
        <w:t>ed</w:t>
      </w:r>
      <w:proofErr w:type="spellEnd"/>
      <w:r w:rsidRPr="001D0F97">
        <w:rPr>
          <w:rFonts w:eastAsia="Droid Sans Fallback"/>
          <w:sz w:val="23"/>
          <w:szCs w:val="23"/>
          <w:lang w:val="en-IN"/>
        </w:rPr>
        <w:t xml:space="preserve"> with a bit vector of possible moves constructed from the packet’s hint bits and VC. This defines the set of possible and available arbitration requests. In addition, the sender provides 2 bits for each VC indicting one of four ranges of available downstream tokens. Of all the possible and available dynamic direction/VC pairs, the packet selects the one with the most available downstream tokens. Ties are randomly broken. If no dynamic direction/VC combination is available, the packet will request its bubble escape direction/VC pair (if available), and if that is also unavailable, the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packet makes no arbitration request. This is a somewhat simplified description since bus availability must also be taken into account. In addition, when a packet reaches its destination, the “direction” requested is simply the corresponding reception FIFO. Second, since each receiver has multiple VC FIFOs (plus the bypass) an arbitration phase is required to determine which of the requesting packets in the receiver wins the right to request. If a high priority packet is requesting, it wins. Barring that, a modified “Serve the Longest Queue” (SLQ) is used, based on 2 bit (4 ranges) FIFO Fullness indicators, i.e., the packet from the most full VC (as measured to within the 2 bits of granularity) wins. However, this cannot always be used since doing so may completely block out a VC. Therefore, a certain (programmable) fraction of the arbitration cycles are designated SLQ cycles in which the above algorithm is used, while the remaining cycles select the winner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randomly. A packet on the bypass channel always receives the lowest priority (unless it is a high priority packet). Third, the receivers and injection FIFOs present their requests to the senders. Note that on a given cycle a receiver will present at most one request to the senders. Thus each sender arbiter can operate independently. The sender gives highest priority to token-ack or ack-only packets, if any. Barring that, the senders tend to </w:t>
      </w:r>
      <w:proofErr w:type="spellStart"/>
      <w:r w:rsidRPr="001D0F97">
        <w:rPr>
          <w:rFonts w:eastAsia="Droid Sans Fallback"/>
          <w:sz w:val="23"/>
          <w:szCs w:val="23"/>
          <w:lang w:val="en-IN"/>
        </w:rPr>
        <w:t>favor</w:t>
      </w:r>
      <w:proofErr w:type="spellEnd"/>
      <w:r w:rsidRPr="001D0F97">
        <w:rPr>
          <w:rFonts w:eastAsia="Droid Sans Fallback"/>
          <w:sz w:val="23"/>
          <w:szCs w:val="23"/>
          <w:lang w:val="en-IN"/>
        </w:rPr>
        <w:t xml:space="preserve"> packets already in the network and use a similar modified SLQ algorithm in which there are SLQ cycles and random cycles. In particular, a certain programmable fraction of cycles (typically 1.0) give priority to packets already in the network (unless the only high priority packet requesting is in an injection FIFO). On such cycles the modified SLQ algorithm is used. Higher priority can be given to injection packets by lowering above in-network priority fraction. On cycles in which injection packets receive priority (barring in-network high priority packets), the modified SLQ algorithm is also used.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6"/>
          <w:szCs w:val="26"/>
          <w:lang w:val="en-IN"/>
        </w:rPr>
      </w:pPr>
      <w:r w:rsidRPr="001D0F97">
        <w:rPr>
          <w:rFonts w:eastAsia="Droid Sans Fallback"/>
          <w:b/>
          <w:bCs/>
          <w:sz w:val="26"/>
          <w:szCs w:val="26"/>
          <w:lang w:val="en-IN"/>
        </w:rPr>
        <w:lastRenderedPageBreak/>
        <w:t xml:space="preserve">Simulator Overview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Given the complexity and scale of the BG/L interconnection network, having an accurate performance simulator was essential during the design phase of the project. Due to the potential size of such a model, simulation speed was a significant concern and a proven shared memory parallel simulation approach was selected. In particular, parallel simulation on shared memory machines has been shown to be very effective in simulating interconnection networks whereas success with message passing parallel interconnection network simulators is harder to come by .We also recognized the difficulties in developing an execution driven simulator for a system with up to 64K processes, and therefore decided upon a simulator that would primarily be driven by application pseudo-codes, in which message passing calls could be easily passed to the simulator; such calls include the time since the last call (the execution burst time), the destination and size of the message, etc. This pseudo-code included a subset of the MPI point to point messaging calls as a workload driver for the simulator. We also extended the IBM UTE trace capture utility that runs on IBM SP machines and were able to use such traces as simulator inputs (for up to several hundreds of nodes). The basic unit of simulation time is a network cycle, which is defined to be the time it takes to transfer one byte. As BG/L is organized around 512 node (8x8x8) midplanes, the simulator partitions its work on a midplane basis, i.e., all nodes on the same midplane are simulated by the same processor (thread) and midplanes are assigned to threads in as even a manner as possible.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Because different threads are concurrently executing, the local simulation clocks of the threads need to be properly synchronized. To deal with this problem, we use a simple but effective “conservative” parallel simulation protocol known as “YAWNS” .In particular, we take advantage of the fact that the minimum transit time between midplanes is known and is at least some constant w≥1 cycles. In this protocol, time “windows” of length </w:t>
      </w:r>
      <w:proofErr w:type="spellStart"/>
      <w:r w:rsidRPr="001D0F97">
        <w:rPr>
          <w:rFonts w:eastAsia="Droid Sans Fallback"/>
          <w:sz w:val="23"/>
          <w:szCs w:val="23"/>
          <w:lang w:val="en-IN"/>
        </w:rPr>
        <w:t>w are</w:t>
      </w:r>
      <w:proofErr w:type="spellEnd"/>
      <w:r w:rsidRPr="001D0F97">
        <w:rPr>
          <w:rFonts w:eastAsia="Droid Sans Fallback"/>
          <w:sz w:val="23"/>
          <w:szCs w:val="23"/>
          <w:lang w:val="en-IN"/>
        </w:rPr>
        <w:t xml:space="preserve"> simulated in parallel by each of the threads. Consider an event that is executed during the window (starting at time t) on processor </w:t>
      </w:r>
      <w:proofErr w:type="spellStart"/>
      <w:r w:rsidRPr="001D0F97">
        <w:rPr>
          <w:rFonts w:eastAsia="Droid Sans Fallback"/>
          <w:sz w:val="23"/>
          <w:szCs w:val="23"/>
          <w:lang w:val="en-IN"/>
        </w:rPr>
        <w:t>i</w:t>
      </w:r>
      <w:proofErr w:type="spellEnd"/>
      <w:r w:rsidRPr="001D0F97">
        <w:rPr>
          <w:rFonts w:eastAsia="Droid Sans Fallback"/>
          <w:sz w:val="23"/>
          <w:szCs w:val="23"/>
          <w:lang w:val="en-IN"/>
        </w:rPr>
        <w:t xml:space="preserve"> that is destined to arrive on processor j in the future; such an event represents the arrival of the first byte of a packet. Since the minimum transit time is w, the arrival cannot occur during the current window, represented by the interval [t, t+w-1]. Processor </w:t>
      </w:r>
      <w:proofErr w:type="spellStart"/>
      <w:r w:rsidRPr="001D0F97">
        <w:rPr>
          <w:rFonts w:eastAsia="Droid Sans Fallback"/>
          <w:sz w:val="23"/>
          <w:szCs w:val="23"/>
          <w:lang w:val="en-IN"/>
        </w:rPr>
        <w:t>i</w:t>
      </w:r>
      <w:proofErr w:type="spellEnd"/>
      <w:r w:rsidRPr="001D0F97">
        <w:rPr>
          <w:rFonts w:eastAsia="Droid Sans Fallback"/>
          <w:sz w:val="23"/>
          <w:szCs w:val="23"/>
          <w:lang w:val="en-IN"/>
        </w:rPr>
        <w:t xml:space="preserve"> simply puts a pointer to the event on an </w:t>
      </w:r>
      <w:proofErr w:type="spellStart"/>
      <w:r w:rsidRPr="001D0F97">
        <w:rPr>
          <w:rFonts w:eastAsia="Droid Sans Fallback"/>
          <w:sz w:val="23"/>
          <w:szCs w:val="23"/>
          <w:lang w:val="en-IN"/>
        </w:rPr>
        <w:t>i</w:t>
      </w:r>
      <w:proofErr w:type="spellEnd"/>
      <w:r w:rsidRPr="001D0F97">
        <w:rPr>
          <w:rFonts w:eastAsia="Droid Sans Fallback"/>
          <w:sz w:val="23"/>
          <w:szCs w:val="23"/>
          <w:lang w:val="en-IN"/>
        </w:rPr>
        <w:t xml:space="preserve">-to-j linked list. When each processor reaches the end of the window,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lastRenderedPageBreak/>
        <w:t xml:space="preserve">it enters a barrier synchronization. Upon leaving the barrier, each processor is sure that every other processor has executed all events up to time t+w-1 and that all inter-processor events are on the appropriate inter-processor linked lists. Processor j can therefore go through all its </w:t>
      </w:r>
      <w:proofErr w:type="spellStart"/>
      <w:r w:rsidRPr="001D0F97">
        <w:rPr>
          <w:rFonts w:eastAsia="Droid Sans Fallback"/>
          <w:sz w:val="23"/>
          <w:szCs w:val="23"/>
          <w:lang w:val="en-IN"/>
        </w:rPr>
        <w:t>i</w:t>
      </w:r>
      <w:proofErr w:type="spellEnd"/>
      <w:r w:rsidRPr="001D0F97">
        <w:rPr>
          <w:rFonts w:eastAsia="Droid Sans Fallback"/>
          <w:sz w:val="23"/>
          <w:szCs w:val="23"/>
          <w:lang w:val="en-IN"/>
        </w:rPr>
        <w:t>-to-j linked lists, remove events from them, and put the events on its own future event list. Once this is done, the processors can simulate the next window [</w:t>
      </w:r>
      <w:proofErr w:type="spellStart"/>
      <w:r w:rsidRPr="001D0F97">
        <w:rPr>
          <w:rFonts w:eastAsia="Droid Sans Fallback"/>
          <w:sz w:val="23"/>
          <w:szCs w:val="23"/>
          <w:lang w:val="en-IN"/>
        </w:rPr>
        <w:t>t+w</w:t>
      </w:r>
      <w:proofErr w:type="spellEnd"/>
      <w:r w:rsidRPr="001D0F97">
        <w:rPr>
          <w:rFonts w:eastAsia="Droid Sans Fallback"/>
          <w:sz w:val="23"/>
          <w:szCs w:val="23"/>
          <w:lang w:val="en-IN"/>
        </w:rPr>
        <w:t xml:space="preserve">, t+2w-1]. If w=1, then this protocol requires a barrier synchronization every cycle, however, on BG/L, the minimum inter-midplane delay will be approximately w=10 network cycles. When a large number of BG/L nodes are being simulated, each processor will execute many events during a window, i.e., between barriers, and thus the simulator should obtain good speedups. The simulator runs on a 16-way IBM “nighthawk” SMP with 64 GB of memory. The model of the torus hardware contains close to 100 resources per node (links, VC token counters, busses, FIFOs, </w:t>
      </w:r>
      <w:proofErr w:type="spellStart"/>
      <w:r w:rsidRPr="001D0F97">
        <w:rPr>
          <w:rFonts w:eastAsia="Droid Sans Fallback"/>
          <w:sz w:val="23"/>
          <w:szCs w:val="23"/>
          <w:lang w:val="en-IN"/>
        </w:rPr>
        <w:t>etc</w:t>
      </w:r>
      <w:proofErr w:type="spellEnd"/>
      <w:r w:rsidRPr="001D0F97">
        <w:rPr>
          <w:rFonts w:eastAsia="Droid Sans Fallback"/>
          <w:sz w:val="23"/>
          <w:szCs w:val="23"/>
          <w:lang w:val="en-IN"/>
        </w:rPr>
        <w:t xml:space="preserve">), so that a full 64K node system can be thought of as a large queuing network with approximately 6 million resources. It consumes a large amount of memory and runs slowly; a 32K node simulation of fully loaded network advances at about 0.25 microseconds of BG/L time per second of wall clock time. However, it obtains excellent speedup, typically more than 12 on 16 nodes, and sometimes achieves </w:t>
      </w:r>
      <w:proofErr w:type="spellStart"/>
      <w:r w:rsidRPr="001D0F97">
        <w:rPr>
          <w:rFonts w:eastAsia="Droid Sans Fallback"/>
          <w:sz w:val="23"/>
          <w:szCs w:val="23"/>
          <w:lang w:val="en-IN"/>
        </w:rPr>
        <w:t>superlinear</w:t>
      </w:r>
      <w:proofErr w:type="spellEnd"/>
      <w:r w:rsidRPr="001D0F97">
        <w:rPr>
          <w:rFonts w:eastAsia="Droid Sans Fallback"/>
          <w:sz w:val="23"/>
          <w:szCs w:val="23"/>
          <w:lang w:val="en-IN"/>
        </w:rPr>
        <w:t xml:space="preserve"> speedup due to the private 8MB L3 caches on the SMP and the smaller per node memory footprint of the parallel simulator. The model, which was written before the VHDL, is thought to be a quite accurate representation of the BG/L hardware, although a number of simplifications were made. For example, in BG/L the arbitration is pipelined and occurs over several cycles. In the simulator, this is </w:t>
      </w:r>
      <w:proofErr w:type="spellStart"/>
      <w:r w:rsidRPr="001D0F97">
        <w:rPr>
          <w:rFonts w:eastAsia="Droid Sans Fallback"/>
          <w:sz w:val="23"/>
          <w:szCs w:val="23"/>
          <w:lang w:val="en-IN"/>
        </w:rPr>
        <w:t>modeled</w:t>
      </w:r>
      <w:proofErr w:type="spellEnd"/>
      <w:r w:rsidRPr="001D0F97">
        <w:rPr>
          <w:rFonts w:eastAsia="Droid Sans Fallback"/>
          <w:sz w:val="23"/>
          <w:szCs w:val="23"/>
          <w:lang w:val="en-IN"/>
        </w:rPr>
        <w:t xml:space="preserve"> as a delay of several cycles followed by presentation of the arbitration request. Because the simulator focuses on what happens once packets are inside the network, a gross simplification was the assumption that the injection FIFOs were of infinite size, and that packets are placed in these FIFOs as early as possible rather than as space frees up in the FIFOs. This has little effect on network response time and throughput measurements during the middle of a run, but can affect the dynamics particularly near the end of runs. The simulator also did not model the error recovery protocol, i.e., no link errors were simulated and the </w:t>
      </w:r>
      <w:proofErr w:type="spellStart"/>
      <w:r w:rsidRPr="001D0F97">
        <w:rPr>
          <w:rFonts w:eastAsia="Droid Sans Fallback"/>
          <w:sz w:val="23"/>
          <w:szCs w:val="23"/>
          <w:lang w:val="en-IN"/>
        </w:rPr>
        <w:t>ackonly</w:t>
      </w:r>
      <w:proofErr w:type="spellEnd"/>
      <w:r w:rsidRPr="001D0F97">
        <w:rPr>
          <w:rFonts w:eastAsia="Droid Sans Fallback"/>
          <w:sz w:val="23"/>
          <w:szCs w:val="23"/>
          <w:lang w:val="en-IN"/>
        </w:rPr>
        <w:t xml:space="preserve"> packets that are occasionally sent if a link is idle for a long time were not </w:t>
      </w:r>
      <w:proofErr w:type="spellStart"/>
      <w:r w:rsidRPr="001D0F97">
        <w:rPr>
          <w:rFonts w:eastAsia="Droid Sans Fallback"/>
          <w:sz w:val="23"/>
          <w:szCs w:val="23"/>
          <w:lang w:val="en-IN"/>
        </w:rPr>
        <w:t>modeled</w:t>
      </w:r>
      <w:proofErr w:type="spellEnd"/>
      <w:r w:rsidRPr="001D0F97">
        <w:rPr>
          <w:rFonts w:eastAsia="Droid Sans Fallback"/>
          <w:sz w:val="23"/>
          <w:szCs w:val="23"/>
          <w:lang w:val="en-IN"/>
        </w:rPr>
        <w:t xml:space="preserve">. However, the arbitration algorithms and token flow control are </w:t>
      </w:r>
      <w:proofErr w:type="spellStart"/>
      <w:r w:rsidRPr="001D0F97">
        <w:rPr>
          <w:rFonts w:eastAsia="Droid Sans Fallback"/>
          <w:sz w:val="23"/>
          <w:szCs w:val="23"/>
          <w:lang w:val="en-IN"/>
        </w:rPr>
        <w:t>modeled</w:t>
      </w:r>
      <w:proofErr w:type="spellEnd"/>
      <w:r w:rsidRPr="001D0F97">
        <w:rPr>
          <w:rFonts w:eastAsia="Droid Sans Fallback"/>
          <w:sz w:val="23"/>
          <w:szCs w:val="23"/>
          <w:lang w:val="en-IN"/>
        </w:rPr>
        <w:t xml:space="preserve"> to a high level of detail.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8"/>
          <w:szCs w:val="28"/>
          <w:lang w:val="en-IN"/>
        </w:rPr>
      </w:pPr>
      <w:r w:rsidRPr="001D0F97">
        <w:rPr>
          <w:rFonts w:eastAsia="Droid Sans Fallback"/>
          <w:b/>
          <w:bCs/>
          <w:sz w:val="28"/>
          <w:szCs w:val="28"/>
          <w:lang w:val="en-IN"/>
        </w:rPr>
        <w:lastRenderedPageBreak/>
        <w:t xml:space="preserve">Sample Performance Studies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In this section, we present some examples of use of the simulator to study design trade-offs in BG/L. The studies presented are illustrative and sometimes use assumptions and corresponding parameters about the system that do not reflect the final BG/L design.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Response Time in Light Traffic: Figure 2 plots the response time for various 32K node BG/L configurations when the workload driver generates packets for random destinations and the packet generation rate is low enough so that the average link utilization is less than one. This Figure compares static routing to dynamic routing with one or more dynamic VCs and one or more busses (paths) connecting receivers to senders. Simpler, random, arbitration rules than SLQ and JSQ were used and the plot was generated early in our studies when the target link bandwidth was 350 MB/sec. (The 350 MB/sec. assumption essentially only affects results by a rescaling of the y-axis.) The figure shows the clear benefit of dynamic over static routing. It also shows that there is little benefit in increasing the number of dynamic VCs unless the number of paths is also increased. Finally, it shows only marginal benefit in going from a 2 VC/2 path to 4 VC/4 path configuration.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All-to-All: </w:t>
      </w:r>
      <w:proofErr w:type="spellStart"/>
      <w:r w:rsidRPr="001D0F97">
        <w:rPr>
          <w:rFonts w:eastAsia="Droid Sans Fallback"/>
          <w:sz w:val="23"/>
          <w:szCs w:val="23"/>
          <w:lang w:val="en-IN"/>
        </w:rPr>
        <w:t>MPI_AlltoAll</w:t>
      </w:r>
      <w:proofErr w:type="spellEnd"/>
      <w:r w:rsidRPr="001D0F97">
        <w:rPr>
          <w:rFonts w:eastAsia="Droid Sans Fallback"/>
          <w:sz w:val="23"/>
          <w:szCs w:val="23"/>
          <w:lang w:val="en-IN"/>
        </w:rPr>
        <w:t xml:space="preserve"> is an important MPI collective communications operation in which every node sends a different message to every other node. plots the average link utilization during the communications pattern implied by this collective. The Figure again shows the benefit of dynamic over static routing. For this pattern, there is marginal benefit in going from 1 to 2 dynamic VCs, but what is important is that the average link utilization is, at approximately 98%, close to the theoretical peak. This peak includes the overhead for the token-ack packets, the packet headers and the 4 byte CRC trailers. A reasonable assumption for the BG/L software is that each packet carries 240 bytes of payload, and with this assumption the plot shows that the payload occupies 87% of the links. Not shown in these plots is the fact that a very low percentage of the traffic flows on the escape bubble VC and that statistics collected during the run showed that few of the VC buffers are full. Three-dimensional FFT algorithms often require the equivalent of an All-to-All, but on a subset of the nodes consisting of either a plane or a line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in the torus. Simulations of these communications patterns also resulted in near-peak performance. The above simulation was for a symmetric BG/L. However, the situation is not so optimistic for an asymmetric BG/L. For example, the 64K node system will be a 64x32x32 node torus. In such a system, the average number of hops in the x dimension is twice that of the y and z dimensions, so that even if every x link is 100% busy, the y and z links can be at most 50% busy. Thus, the peak link utilization is at most 66.7%. Since 12% of that is overhead, the best possible payload utilization is 59%. However, we expect significantly more blocking and throughput degradation due to full VC buffers. Indeed a simulation of the All-to-All communications pattern on a 32x16x16 torus resulted in an average link utilization of 49% and payload utilization of 44%, corresponding to 74% of the peak. This figure is probably somewhat pessimistic due to the simulator </w:t>
      </w:r>
      <w:proofErr w:type="spellStart"/>
      <w:r w:rsidRPr="001D0F97">
        <w:rPr>
          <w:rFonts w:eastAsia="Droid Sans Fallback"/>
          <w:sz w:val="23"/>
          <w:szCs w:val="23"/>
          <w:lang w:val="en-IN"/>
        </w:rPr>
        <w:t>artifact</w:t>
      </w:r>
      <w:proofErr w:type="spellEnd"/>
      <w:r w:rsidRPr="001D0F97">
        <w:rPr>
          <w:rFonts w:eastAsia="Droid Sans Fallback"/>
          <w:sz w:val="23"/>
          <w:szCs w:val="23"/>
          <w:lang w:val="en-IN"/>
        </w:rPr>
        <w:t xml:space="preserve"> of infinite-sized injection FIFOs, which distorts the effects at the end of the simulation. We also believe that appropriate injection flow control software algorithms can reduce VC buffer blocking and achieve closer to peak performance. Nevertheless, the above study points out a disadvantage of the torus architecture for asymmetric machines in which the application cannot be easily mapped so as to result in a close proximity communications pattern.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Virtual Channel Architecture: Here we consider several different deadlock prevention escape VC architectures. The first proposed has two escape VCs per direction. Each dimension has a “dateline.” Before crossing the dateline, the escape VC is the lower numbered of the pair, but after crossing the dateline the escape VC is the higher numbered of the pair. In addition we consider dimension ordered or direction ordered escape VCs. In dimension ordered, the escape VC is x first, then y if no x hops remain, then z if no x or y hops remain. In direction ordered, the escape VCs are ordered by x+, y+, z+, x-, y-, z- (other orderings are possible). We also consider dimension and direction ordered escape VCs for the bubble escape. We again use the hot region workload where the hot region starts at coordinates (0,0,0) and the datelines are set at the maximum coordinate value in each dimension. plots the throughput as a function of time. The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dimension ordered dateline pair shows particularly poor and wild </w:t>
      </w:r>
      <w:proofErr w:type="spellStart"/>
      <w:r w:rsidRPr="001D0F97">
        <w:rPr>
          <w:rFonts w:eastAsia="Droid Sans Fallback"/>
          <w:sz w:val="23"/>
          <w:szCs w:val="23"/>
          <w:lang w:val="en-IN"/>
        </w:rPr>
        <w:t>behavior</w:t>
      </w:r>
      <w:proofErr w:type="spellEnd"/>
      <w:r w:rsidRPr="001D0F97">
        <w:rPr>
          <w:rFonts w:eastAsia="Droid Sans Fallback"/>
          <w:sz w:val="23"/>
          <w:szCs w:val="23"/>
          <w:lang w:val="en-IN"/>
        </w:rPr>
        <w:t xml:space="preserve">, with a steep decline in throughput, followed by a rise and then another steep decline. plots the throughput on a per VC basis for a longer period of time. The decreasing and increasing bandwidth waves persist even over this much longer time scale. An appreciable fraction of the traffic flows on the escape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VCs, indicating a high level of VC buffer occupation. What causes these waves? First, the placement of the dateline causes an asymmetry in the torus, whereas the bubble escape is perfectly symmetrical in each dimension. Since there are two escape VCs, we thought it likely that packets at the head of the VC buffers could be waiting for one of the escape VCs but tokens are returned for the other escape VC. In such a situation, no packets could move even though the link may be available and downstream buffer space is available. To confirm this, the simulator was instrumented to collect additional statistics. In particular, we measured the fraction of time a token-ack is returned that frees at least one previously blocked packet to move. plots this unblocking probability along with the throughput as a function of time. The unblocking probability is relatively constant for the bubble (after the initial decline), but varies directly with the throughput for the dateline pair; when the unblocking probability increases, the throughput increases and vice-versa.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Performance Verification: To verify the VHDL logic of the torus, we built a multi-node verification </w:t>
      </w:r>
      <w:proofErr w:type="spellStart"/>
      <w:r w:rsidRPr="001D0F97">
        <w:rPr>
          <w:rFonts w:eastAsia="Droid Sans Fallback"/>
          <w:sz w:val="23"/>
          <w:szCs w:val="23"/>
          <w:lang w:val="en-IN"/>
        </w:rPr>
        <w:t>testbench</w:t>
      </w:r>
      <w:proofErr w:type="spellEnd"/>
      <w:r w:rsidRPr="001D0F97">
        <w:rPr>
          <w:rFonts w:eastAsia="Droid Sans Fallback"/>
          <w:sz w:val="23"/>
          <w:szCs w:val="23"/>
          <w:lang w:val="en-IN"/>
        </w:rPr>
        <w:t xml:space="preserve">. This </w:t>
      </w:r>
      <w:proofErr w:type="spellStart"/>
      <w:r w:rsidRPr="001D0F97">
        <w:rPr>
          <w:rFonts w:eastAsia="Droid Sans Fallback"/>
          <w:sz w:val="23"/>
          <w:szCs w:val="23"/>
          <w:lang w:val="en-IN"/>
        </w:rPr>
        <w:t>testbench</w:t>
      </w:r>
      <w:proofErr w:type="spellEnd"/>
      <w:r w:rsidRPr="001D0F97">
        <w:rPr>
          <w:rFonts w:eastAsia="Droid Sans Fallback"/>
          <w:sz w:val="23"/>
          <w:szCs w:val="23"/>
          <w:lang w:val="en-IN"/>
        </w:rPr>
        <w:t xml:space="preserve">, which runs on the Cadence VHDL simulator, consisted of workload drivers that inject packets into the injection FIFOs, links between nodes on which bits could be corrupted to test the error recovery protocol, and packet checkers that pull packets out of the reception FIFOs and check them for a variety of conditions, such as whether the packet arrived at the correct destination and whether its contents were received correctly. The workload drivers could be flexibly configured to simulate a number of different traffic patterns. As we neared the end of the logic verification process, we wanted to ensure that network performance was as intended. One of the benchmarks we tested was the All-to- All. The VHDL simulator was limited (by memory) to a maximum of 64 nodes, so we simulated both a 4x4x4 torus and an 8x8x1 torus and compared the average link utilizations to those predicted by the performance simulator. While these agreed to within 2%, the VHDL (corresponding to the actual network hardware) indicated that VC buffers were fuller than that predicted by the performance simulator. A close inspection of the arbitration logic revealed that a one cycle gap in the arbitration pipeline of the receivers could occur when all possible outgoing links/VCs were busy. This gap was sufficient to permit packets from the injection FIFOs to sneak into the network, leading to fuller VCs than intended. A simple fix to eliminate this possibility was implemented, and subsequent VHDL simulations indicated greatly reduced levels of VC buffer occupation. </w:t>
      </w:r>
      <w:r w:rsidRPr="001D0F97">
        <w:rPr>
          <w:rFonts w:eastAsia="Droid Sans Fallback"/>
          <w:sz w:val="32"/>
          <w:szCs w:val="32"/>
          <w:lang w:val="en-IN"/>
        </w:rPr>
        <w:t xml:space="preserve">www.studymafia.org www.studymafia.org 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Application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Machines like Blue Gene/L are designed to handle data-intensive applications like content distribution, simulations, and </w:t>
      </w:r>
      <w:proofErr w:type="spellStart"/>
      <w:r w:rsidRPr="001D0F97">
        <w:rPr>
          <w:rFonts w:eastAsia="Droid Sans Fallback"/>
          <w:sz w:val="23"/>
          <w:szCs w:val="23"/>
          <w:lang w:val="en-IN"/>
        </w:rPr>
        <w:t>modeling</w:t>
      </w:r>
      <w:proofErr w:type="spellEnd"/>
      <w:r w:rsidRPr="001D0F97">
        <w:rPr>
          <w:rFonts w:eastAsia="Droid Sans Fallback"/>
          <w:sz w:val="23"/>
          <w:szCs w:val="23"/>
          <w:lang w:val="en-IN"/>
        </w:rPr>
        <w:t xml:space="preserve">, </w:t>
      </w:r>
      <w:proofErr w:type="spellStart"/>
      <w:r w:rsidRPr="001D0F97">
        <w:rPr>
          <w:rFonts w:eastAsia="Droid Sans Fallback"/>
          <w:sz w:val="23"/>
          <w:szCs w:val="23"/>
          <w:lang w:val="en-IN"/>
        </w:rPr>
        <w:t>webserving</w:t>
      </w:r>
      <w:proofErr w:type="spellEnd"/>
      <w:r w:rsidRPr="001D0F97">
        <w:rPr>
          <w:rFonts w:eastAsia="Droid Sans Fallback"/>
          <w:sz w:val="23"/>
          <w:szCs w:val="23"/>
          <w:lang w:val="en-IN"/>
        </w:rPr>
        <w:t xml:space="preserve">, data mining or business intelligence.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Another most important application is to predict how chains of biochemical building blocks described by DNA fold into proteins--massive molecules such as </w:t>
      </w:r>
      <w:proofErr w:type="spellStart"/>
      <w:r w:rsidRPr="001D0F97">
        <w:rPr>
          <w:rFonts w:eastAsia="Droid Sans Fallback"/>
          <w:sz w:val="23"/>
          <w:szCs w:val="23"/>
          <w:lang w:val="en-IN"/>
        </w:rPr>
        <w:t>hemoglobin</w:t>
      </w:r>
      <w:proofErr w:type="spellEnd"/>
      <w:r w:rsidRPr="001D0F97">
        <w:rPr>
          <w:rFonts w:eastAsia="Droid Sans Fallback"/>
          <w:sz w:val="23"/>
          <w:szCs w:val="23"/>
          <w:lang w:val="en-IN"/>
        </w:rPr>
        <w:t xml:space="preserve">. Most biological functions involve proteins and while a protein's chemical composition is determined by a sequence of amino acids joined like links of a chain, a protein folds into a highly complex, three-dimensional shape such as illustrated in the two figures below.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Fig 1.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It is hypothesized that the shape of a protein is the principal determinant of its function. Arbitrary strings of amino acids do not, in general, fold into a well-defined three-dimensional structure, but evolution has selected out the proteins used in biological processes for their ability to fold reproducibly (sometimes with assistance, sometimes without) into a particular three-dimensional structure within a relatively short time. Some diseases are actually caused by slight </w:t>
      </w:r>
      <w:proofErr w:type="spellStart"/>
      <w:r w:rsidRPr="001D0F97">
        <w:rPr>
          <w:rFonts w:eastAsia="Droid Sans Fallback"/>
          <w:sz w:val="23"/>
          <w:szCs w:val="23"/>
          <w:lang w:val="en-IN"/>
        </w:rPr>
        <w:t>misfoldings</w:t>
      </w:r>
      <w:proofErr w:type="spellEnd"/>
      <w:r w:rsidRPr="001D0F97">
        <w:rPr>
          <w:rFonts w:eastAsia="Droid Sans Fallback"/>
          <w:sz w:val="23"/>
          <w:szCs w:val="23"/>
          <w:lang w:val="en-IN"/>
        </w:rPr>
        <w:t xml:space="preserve"> of a particular protein. Understanding the mechanisms that cause a string of amino acids to fold into a specific three-dimensional structure is an outstanding scientific challenge. Appropriate use of large scale biomolecular simulation to study protein folding is expected to shed significant light into this process. Extensive collaborations with the biological research community will be needed to find the best way of applying the unique computational resources available to the Blue Gene project to advance our understanding of protein folding. The level of performance provided by Blue Gene (sufficient to simulate the folding of a small protein in a year of running time) is expected to enable a tremendous increase in the scale of simulations that can be carried out as compared with existing supercomputers.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The scientific community considers protein folding one of the most significant "grand challenges" -- a fundamental problem in science or engineering that has broad economic and scientific impact and whose solution can be advanced only by applying high-performance computing technologies.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Proteins control all cellular processes in the human body. Comprising strings of amino acids that are joined like links of a chain, a protein folds into a highly complex, three-dimensional shape that determines its function. Any change in shape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dramatically alters the function of a protein, and even the slightest change in the folding process can turn a desirable protein into a disease.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Better understanding of how proteins fold will give scientists and doctors better insight into diseases and ways to combat them. Pharmaceutical companies could design high-tech prescription drugs customized to the specific needs of individual people. And doctors could respond more rapidly to changes in bacteria and viruses that cause them to become drug-resistant.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The human genome is currently thought to contain approximately 40000 genes, which code for a much larger number of proteins through alternative splicing and post-translational modification, a molecular toolkit assembled to handle a huge diversity of functions. An understanding of how proteins function is essential for understanding the cell life cycle and metabolism, how cells send signals to their environment, and how cells receive and process signals from their environment. An understanding of protein structure and function can serve as a basis for innovation in new therapies, diagnostic devices, and even industrial applications. When proteins fold into the wrong structure, the results can be fatal, e.g., “mad cow” disease probably results from an autocatalyzed wrong fold in the prion protein6 and cystic fibrosis is also connected with protein (</w:t>
      </w:r>
      <w:proofErr w:type="spellStart"/>
      <w:r w:rsidRPr="001D0F97">
        <w:rPr>
          <w:rFonts w:eastAsia="Droid Sans Fallback"/>
          <w:sz w:val="23"/>
          <w:szCs w:val="23"/>
          <w:lang w:val="en-IN"/>
        </w:rPr>
        <w:t>mis</w:t>
      </w:r>
      <w:proofErr w:type="spellEnd"/>
      <w:r w:rsidRPr="001D0F97">
        <w:rPr>
          <w:rFonts w:eastAsia="Droid Sans Fallback"/>
          <w:sz w:val="23"/>
          <w:szCs w:val="23"/>
          <w:lang w:val="en-IN"/>
        </w:rPr>
        <w:t xml:space="preserve">)folding.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Protein architecture. Protein architecture8 is based on three principles: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The formation of a polymer chain .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ascii="Cambria" w:eastAsia="Droid Sans Fallback" w:hAnsi="Cambria"/>
          <w:sz w:val="23"/>
          <w:szCs w:val="23"/>
          <w:lang w:val="en-IN"/>
        </w:rPr>
        <w:t xml:space="preserve"> </w:t>
      </w:r>
      <w:r w:rsidRPr="001D0F97">
        <w:rPr>
          <w:rFonts w:eastAsia="Droid Sans Fallback"/>
          <w:sz w:val="23"/>
          <w:szCs w:val="23"/>
          <w:lang w:val="en-IN"/>
        </w:rPr>
        <w:t xml:space="preserve">The folding of this chain into a compact function-enabling structure, or native structure .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Post-translational modification of the folded structure . </w:t>
      </w:r>
    </w:p>
    <w:p w:rsidR="001D0F97" w:rsidRPr="001D0F97" w:rsidRDefault="001D0F97" w:rsidP="001D0F97">
      <w:pPr>
        <w:suppressAutoHyphens w:val="0"/>
        <w:autoSpaceDE w:val="0"/>
        <w:autoSpaceDN w:val="0"/>
        <w:adjustRightInd w:val="0"/>
        <w:jc w:val="both"/>
        <w:rPr>
          <w:rFonts w:eastAsia="Droid Sans Fallback"/>
          <w:sz w:val="23"/>
          <w:szCs w:val="23"/>
          <w:lang w:val="en-IN"/>
        </w:rPr>
      </w:pP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The protein chain (or peptide chain if short in length) is a heteropolymer built up from alpha amino acid monomers, as shown in Figure 2. The sequence of amino acid residues in the peptide chain is termed the primary structure of the protein. The 20 different choices for each amino acid in the chain give the possibility of enormous diversity, even for small proteins. For example, a peptide of 30 residues yields the astonishing number of about 2030, or approximately 1039, possible unique sequences. </w:t>
      </w:r>
    </w:p>
    <w:p w:rsidR="001D0F97" w:rsidRPr="001D0F97" w:rsidRDefault="001D0F97" w:rsidP="001D0F97">
      <w:pPr>
        <w:suppressAutoHyphens w:val="0"/>
        <w:autoSpaceDE w:val="0"/>
        <w:autoSpaceDN w:val="0"/>
        <w:adjustRightInd w:val="0"/>
        <w:jc w:val="both"/>
        <w:rPr>
          <w:rFonts w:eastAsia="Droid Sans Fallback"/>
          <w:sz w:val="22"/>
          <w:szCs w:val="22"/>
          <w:lang w:val="en-IN"/>
        </w:rPr>
      </w:pPr>
      <w:r w:rsidRPr="001D0F97">
        <w:rPr>
          <w:rFonts w:eastAsia="Droid Sans Fallback"/>
          <w:i/>
          <w:iCs/>
          <w:sz w:val="22"/>
          <w:szCs w:val="22"/>
          <w:lang w:val="en-IN"/>
        </w:rPr>
        <w:t xml:space="preserve">Fig 2 </w:t>
      </w:r>
    </w:p>
    <w:p w:rsidR="001D0F97" w:rsidRPr="001D0F97" w:rsidRDefault="001D0F97" w:rsidP="001D0F97">
      <w:pPr>
        <w:suppressAutoHyphens w:val="0"/>
        <w:autoSpaceDE w:val="0"/>
        <w:autoSpaceDN w:val="0"/>
        <w:adjustRightInd w:val="0"/>
        <w:jc w:val="both"/>
        <w:rPr>
          <w:rFonts w:eastAsia="Droid Sans Fallback"/>
          <w:sz w:val="28"/>
          <w:szCs w:val="28"/>
          <w:lang w:val="en-IN"/>
        </w:rPr>
      </w:pPr>
      <w:r w:rsidRPr="001D0F97">
        <w:rPr>
          <w:rFonts w:eastAsia="Droid Sans Fallback"/>
          <w:b/>
          <w:bCs/>
          <w:sz w:val="28"/>
          <w:szCs w:val="28"/>
          <w:lang w:val="en-IN"/>
        </w:rPr>
        <w:t xml:space="preserve">The protein folding problem.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There are two important facets to the protein folding problem: prediction of three-dimensional structure from amino acid sequence, and understanding the mechanisms and pathways whereby the three-dimensional structure forms within biologically relevant timescales.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The prediction of structure from sequence data is the subject of an enormous amount of research and a series of conferences that assess the state of the art in structure prediction.9 While this area is extremely important, good progress in the area of structural predictions has been made using only modest amounts of computational power. The effort described in this paper is aimed at improving our understanding of the mechanisms behind protein folding, rather than at structure prediction. Even though biologists have been most interested in structure prediction, there has been an increasing recognition of the role that </w:t>
      </w:r>
      <w:proofErr w:type="spellStart"/>
      <w:r w:rsidRPr="001D0F97">
        <w:rPr>
          <w:rFonts w:eastAsia="Droid Sans Fallback"/>
          <w:sz w:val="23"/>
          <w:szCs w:val="23"/>
          <w:lang w:val="en-IN"/>
        </w:rPr>
        <w:t>misfolding</w:t>
      </w:r>
      <w:proofErr w:type="spellEnd"/>
      <w:r w:rsidRPr="001D0F97">
        <w:rPr>
          <w:rFonts w:eastAsia="Droid Sans Fallback"/>
          <w:sz w:val="23"/>
          <w:szCs w:val="23"/>
          <w:lang w:val="en-IN"/>
        </w:rPr>
        <w:t xml:space="preserve"> of proteins plays in certain disease processes, notably Alzheimer's disease and mad cow disease.6 The section that follows describes some of the fundamental reasons for interest in the process of protein folding.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8"/>
          <w:szCs w:val="28"/>
          <w:lang w:val="en-IN"/>
        </w:rPr>
      </w:pPr>
      <w:r w:rsidRPr="001D0F97">
        <w:rPr>
          <w:rFonts w:eastAsia="Droid Sans Fallback"/>
          <w:b/>
          <w:bCs/>
          <w:i/>
          <w:iCs/>
          <w:sz w:val="28"/>
          <w:szCs w:val="28"/>
          <w:lang w:val="en-IN"/>
        </w:rPr>
        <w:lastRenderedPageBreak/>
        <w:t xml:space="preserve">Current view of folding mechanisms.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A simplistic but illustrative way of viewing protein folding is to note that the amino acid R groups (see Figure 2, caption) fall into three main classes: (1) charged, (2) hydrophilic (“water-loving”), and (3) hydrophobic (“water-hating”). In the simplest picture, the folded state of the peptide chain is stabilized primarily (for a globular protein in water), by the sequestration of much of the hydrophobic groups into the core of the protein—out of contact with water, while the hydrophilic and charged groups remain in contact with water. The stability can be described in terms of the Gibbs free-energy change G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G = H – TS,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where H is the enthalpy change and S is the entropy change. H is negative due to the more </w:t>
      </w:r>
      <w:proofErr w:type="spellStart"/>
      <w:r w:rsidRPr="001D0F97">
        <w:rPr>
          <w:rFonts w:eastAsia="Droid Sans Fallback"/>
          <w:sz w:val="23"/>
          <w:szCs w:val="23"/>
          <w:lang w:val="en-IN"/>
        </w:rPr>
        <w:t>favorable</w:t>
      </w:r>
      <w:proofErr w:type="spellEnd"/>
      <w:r w:rsidRPr="001D0F97">
        <w:rPr>
          <w:rFonts w:eastAsia="Droid Sans Fallback"/>
          <w:sz w:val="23"/>
          <w:szCs w:val="23"/>
          <w:lang w:val="en-IN"/>
        </w:rPr>
        <w:t xml:space="preserve"> hydrophobic interactions in the folded state, but so is S because the folded state is much more ordered and has lower entropy than the unfolded state. The balance between the enthalpy and entropy terms is a delicate one, and the total free-energy change is only of order 15 kilocalories per mole. Evidently the internal hydrophobic/external hydrophilic packing requirement places strong constraints on the amino acid sequence, as does the requirement that the native state be kinetically accessible.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It is helpful to think of the physics of the folding process as a “free-energy funnel Since the folding process is slow relative to motions at atomic scale, we can think of partially folded configurations as having a quasi-equilibrium value of the free energy. The free energy surface may be displayed as a function of some reduced dimensionality representation of the system configuration in a given state of the protein.12 . The most unfolded configurations are the most numerous, but have the highest free energy, and occur on the rim of the funnel. Going into the funnel represents a loss of number of configurations (decrease of entropy), but a gradual decrease in free energy, until the native state with very few configurations and the lowest free energy is reached at the bottom of the funnel. The walls of the funnel contain only relatively shallow subsidiary minima, which can trap the folding protein in non-native states, but only for a short time. Now the evolution of the system as it folds can be described in terms of the funnel. The system starts off in a physically probable state on the rim of the funnel, and then makes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transitions to a series of physically accessible states within the funnel, until the bottom of the funnel is gradually approached.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Figure 3 illustrates folding. Here the unfolded peptide chain on the left already contains some folded secondary structure, alpha helices (red), and a beta hairpin (blue). It is still a long way from the compact native structure at right. The folding process in different proteins spans an enormous dynamic range from approximately 20 microseconds to approximately 1 second. </w:t>
      </w:r>
    </w:p>
    <w:p w:rsidR="001D0F97" w:rsidRPr="001D0F97" w:rsidRDefault="001D0F97" w:rsidP="001D0F97">
      <w:pPr>
        <w:suppressAutoHyphens w:val="0"/>
        <w:autoSpaceDE w:val="0"/>
        <w:autoSpaceDN w:val="0"/>
        <w:adjustRightInd w:val="0"/>
        <w:jc w:val="both"/>
        <w:rPr>
          <w:rFonts w:eastAsia="Droid Sans Fallback"/>
          <w:sz w:val="22"/>
          <w:szCs w:val="22"/>
          <w:lang w:val="en-IN"/>
        </w:rPr>
      </w:pPr>
      <w:r w:rsidRPr="001D0F97">
        <w:rPr>
          <w:rFonts w:eastAsia="Droid Sans Fallback"/>
          <w:i/>
          <w:iCs/>
          <w:sz w:val="22"/>
          <w:szCs w:val="22"/>
          <w:lang w:val="en-IN"/>
        </w:rPr>
        <w:t xml:space="preserve">Fig 3.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The scientific knowledge derived from research on protein folding can potentially be applied to a variety of related life sciences problems of great scientific and commercial interest, including: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Protein-drug interactions (docking)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Enzyme catalysis (through use of hybrid quantum and classical methods)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Refinement of protein structures created through other methods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We shall also explore the use of Blue Gene in other scientific computing areas. We expect that lessons learned from this project will apply to future high performance IBM systems in a broader range of scientific and commercial applications.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Examples of those applications include the </w:t>
      </w:r>
      <w:proofErr w:type="spellStart"/>
      <w:r w:rsidRPr="001D0F97">
        <w:rPr>
          <w:rFonts w:eastAsia="Droid Sans Fallback"/>
          <w:sz w:val="23"/>
          <w:szCs w:val="23"/>
          <w:lang w:val="en-IN"/>
        </w:rPr>
        <w:t>modeling</w:t>
      </w:r>
      <w:proofErr w:type="spellEnd"/>
      <w:r w:rsidRPr="001D0F97">
        <w:rPr>
          <w:rFonts w:eastAsia="Droid Sans Fallback"/>
          <w:sz w:val="23"/>
          <w:szCs w:val="23"/>
          <w:lang w:val="en-IN"/>
        </w:rPr>
        <w:t xml:space="preserve"> of the aging and properties of materials, and the </w:t>
      </w:r>
      <w:proofErr w:type="spellStart"/>
      <w:r w:rsidRPr="001D0F97">
        <w:rPr>
          <w:rFonts w:eastAsia="Droid Sans Fallback"/>
          <w:sz w:val="23"/>
          <w:szCs w:val="23"/>
          <w:lang w:val="en-IN"/>
        </w:rPr>
        <w:t>modeling</w:t>
      </w:r>
      <w:proofErr w:type="spellEnd"/>
      <w:r w:rsidRPr="001D0F97">
        <w:rPr>
          <w:rFonts w:eastAsia="Droid Sans Fallback"/>
          <w:sz w:val="23"/>
          <w:szCs w:val="23"/>
          <w:lang w:val="en-IN"/>
        </w:rPr>
        <w:t xml:space="preserve"> of turbulence. This technology opens the door to a number of applications of great interest to civilian industry and business, like biology and other life sciences. The future of US high-performance computing will benefit tremendously from pursuing both of these paths in parallel.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"One day, you're going to be able to walk into a doctor's office and have a computer </w:t>
      </w:r>
      <w:proofErr w:type="spellStart"/>
      <w:r w:rsidRPr="001D0F97">
        <w:rPr>
          <w:rFonts w:eastAsia="Droid Sans Fallback"/>
          <w:sz w:val="23"/>
          <w:szCs w:val="23"/>
          <w:lang w:val="en-IN"/>
        </w:rPr>
        <w:t>analyze</w:t>
      </w:r>
      <w:proofErr w:type="spellEnd"/>
      <w:r w:rsidRPr="001D0F97">
        <w:rPr>
          <w:rFonts w:eastAsia="Droid Sans Fallback"/>
          <w:sz w:val="23"/>
          <w:szCs w:val="23"/>
          <w:lang w:val="en-IN"/>
        </w:rPr>
        <w:t xml:space="preserve"> a tissue sample, identify the pathogen that ails you, and then instantly prescribe a treatment best suited to your specific illness and individual genetic makeup."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Consider the following three types of protein science studies that might employ large-scale numerical simulation techniques: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Structure prediction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Folding pathway characterization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 Folding kinetics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Protein structure prediction can be carried out using a large number of techniques8 and, as previously discussed, it is unnecessary to spend a “petaflop year” on the prediction of a single protein structure. That said, there is some reason to believe that atomistic simulation techniques may be useful in refining structures obtained by other methods.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Folding pathway characterization typically involves the study of thermodynamic properties of a protein in quasi-equilibrium during the folding process. Mapping out the free-energy “landscape” that the protein traverses as it samples conformations during the folding process can give insights into the nature of intermediate states along the folding pathway and into the “ruggedness” of the free-energy surface that is traversed during this process. Because such studies involve computations of average values of selected functions of the system's state, one has the choice of either averaging over time as the system samples a large number of states (molecular dynamics) or averaging over configurations (Monte Carlo). Aggressive sampling techniques that may improve the computational efficiency with which such averages can be computed can be used to good effect in these studies. Simulation techniques to compute these averages over the appropriate thermodynamic ensembles are available.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Simulation studies of folding kinetics are aimed at understanding the rates at which the protein makes transitions between various conformations. In this case, the calculation of thermodynamic averages is not enough; the actual dynamics of the system must be simulated with sufficient accuracy to allow estimation of rates. Of course, a large number of transition events must be simulated in order to derive rate estimates with reasonable statistical uncertainties. Another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challenge faced in such simulations is that the simulation techniques used to reproduce thermodynamic averages in ensembles other than constant particle number, volume, and energy (NVE) are, strictly speaking, inappropriate for studies of folding kinetics.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t xml:space="preserve">Challenges for computational </w:t>
      </w:r>
      <w:proofErr w:type="spellStart"/>
      <w:r w:rsidRPr="001D0F97">
        <w:rPr>
          <w:rFonts w:eastAsia="Droid Sans Fallback"/>
          <w:b/>
          <w:bCs/>
          <w:sz w:val="32"/>
          <w:szCs w:val="32"/>
          <w:lang w:val="en-IN"/>
        </w:rPr>
        <w:t>modeling</w:t>
      </w:r>
      <w:proofErr w:type="spellEnd"/>
      <w:r w:rsidRPr="001D0F97">
        <w:rPr>
          <w:rFonts w:eastAsia="Droid Sans Fallback"/>
          <w:b/>
          <w:bCs/>
          <w:sz w:val="32"/>
          <w:szCs w:val="32"/>
          <w:lang w:val="en-IN"/>
        </w:rPr>
        <w:t xml:space="preserve">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The current expectation is that it will be sufficient to use classical techniques, such as molecular dynamics (MD), to model proteins in the Blue Gene project. This is because many aspects of the protein folding process do not involve the making and breaking of covalent bonds. While </w:t>
      </w:r>
      <w:proofErr w:type="spellStart"/>
      <w:r w:rsidRPr="001D0F97">
        <w:rPr>
          <w:rFonts w:eastAsia="Droid Sans Fallback"/>
          <w:sz w:val="23"/>
          <w:szCs w:val="23"/>
          <w:lang w:val="en-IN"/>
        </w:rPr>
        <w:t>disulfide</w:t>
      </w:r>
      <w:proofErr w:type="spellEnd"/>
      <w:r w:rsidRPr="001D0F97">
        <w:rPr>
          <w:rFonts w:eastAsia="Droid Sans Fallback"/>
          <w:sz w:val="23"/>
          <w:szCs w:val="23"/>
          <w:lang w:val="en-IN"/>
        </w:rPr>
        <w:t xml:space="preserve"> bonds play a role in many protein structures, their formation will not be addressed by classical atomistic simulations. In classical atomistic approaches, a model for the interatomic interactions is used. This is known as a potential, or force field, since the forces on all the particles can be computed from it, if one has its mathematical expression and all its parameters. The MD approach is to compute all the forces on all the atoms of the computer model of the protein and solvent, then use that force to compute the new positions of all the atoms a very short time later. By doing this repeatedly, a trajectory of the atoms of the system can be traced out, producing atomic coordinates as a function of time.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system samples a large number of states (molecular dynamics) or averaging over configurations (Monte Carlo). Aggressive sampling techniques that may improve the computational efficiency with which such averages can be computed can be used to good effect in these studies. Simulation techniques to compute these averages over the appropriate thermodynamic ensembles are available.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Simulation studies of folding kinetics are aimed at understanding the rates at which the protein makes transitions between various conformations. In this case, the calculation of thermodynamic averages is not enough; the actual dynamics of the system must be simulated with sufficient accuracy to allow estimation of rates. Of course, a large number of transition events must be simulated in order to derive rate estimates with reasonable statistical uncertainties. Another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lastRenderedPageBreak/>
        <w:t xml:space="preserve">challenge faced in such simulations is that the simulation techniques used to reproduce thermodynamic averages in ensembles other than constant particle number, volume, and energy (NVE) are, strictly speaking, inappropriate for studies of folding kinetics.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t xml:space="preserve">Conclusion </w:t>
      </w:r>
    </w:p>
    <w:p w:rsidR="001D0F97" w:rsidRPr="001D0F97" w:rsidRDefault="001D0F97" w:rsidP="001D0F97">
      <w:pPr>
        <w:suppressAutoHyphens w:val="0"/>
        <w:autoSpaceDE w:val="0"/>
        <w:autoSpaceDN w:val="0"/>
        <w:adjustRightInd w:val="0"/>
        <w:jc w:val="both"/>
        <w:rPr>
          <w:rFonts w:eastAsia="Droid Sans Fallback"/>
          <w:sz w:val="23"/>
          <w:szCs w:val="23"/>
          <w:lang w:val="en-IN"/>
        </w:rPr>
      </w:pPr>
      <w:r w:rsidRPr="001D0F97">
        <w:rPr>
          <w:rFonts w:eastAsia="Droid Sans Fallback"/>
          <w:sz w:val="23"/>
          <w:szCs w:val="23"/>
          <w:lang w:val="en-IN"/>
        </w:rPr>
        <w:t xml:space="preserve">"Blue Gene" is an ambitious project to expand the horizons of supercomputing, with the ultimate goal of creating a system that can perform one quadrillion calculations per second, or one petaflop. IBM is hoping that expanded performance, more efficient data access for processors, and lower operational costs will give Blue Gene a big leg up in the world of high-performance computing. </w:t>
      </w:r>
    </w:p>
    <w:p w:rsidR="001D0F97" w:rsidRPr="001D0F97" w:rsidRDefault="001D0F97" w:rsidP="001D0F97">
      <w:pPr>
        <w:suppressAutoHyphens w:val="0"/>
        <w:autoSpaceDE w:val="0"/>
        <w:autoSpaceDN w:val="0"/>
        <w:adjustRightInd w:val="0"/>
        <w:jc w:val="both"/>
        <w:rPr>
          <w:rFonts w:eastAsia="Droid Sans Fallback"/>
          <w:sz w:val="32"/>
          <w:szCs w:val="32"/>
          <w:lang w:val="en-IN"/>
        </w:rPr>
      </w:pPr>
      <w:r w:rsidRPr="001D0F97">
        <w:rPr>
          <w:rFonts w:eastAsia="Droid Sans Fallback"/>
          <w:sz w:val="23"/>
          <w:szCs w:val="23"/>
          <w:lang w:val="en-IN"/>
        </w:rPr>
        <w:t xml:space="preserve">The Blue Gene project represents a unique opportunity to explore novel research into a number of areas, including machine architecture, programming models, algorithmic techniques, and biomolecular simulation science. Every aspect of this highly adventurous project involves significant challenges. Carrying out our planned program will require a collaborative effort across many disciplines and the involvement of the worldwide scientific and technical community. In particular, the scientific program will engage with the life sciences community in order to make best use of this unique computational resource. </w:t>
      </w:r>
      <w:r w:rsidRPr="001D0F97">
        <w:rPr>
          <w:rFonts w:eastAsia="Droid Sans Fallback"/>
          <w:sz w:val="32"/>
          <w:szCs w:val="32"/>
          <w:lang w:val="en-IN"/>
        </w:rPr>
        <w:t xml:space="preserve">www.studymafia.org </w:t>
      </w:r>
    </w:p>
    <w:p w:rsidR="001D0F97" w:rsidRPr="001D0F97" w:rsidRDefault="001D0F97" w:rsidP="001D0F97">
      <w:pPr>
        <w:suppressAutoHyphens w:val="0"/>
        <w:autoSpaceDE w:val="0"/>
        <w:autoSpaceDN w:val="0"/>
        <w:adjustRightInd w:val="0"/>
        <w:jc w:val="both"/>
        <w:rPr>
          <w:rFonts w:ascii="Cambria" w:eastAsia="Droid Sans Fallback" w:hAnsi="Cambria"/>
          <w:sz w:val="24"/>
          <w:szCs w:val="24"/>
          <w:lang w:val="en-IN"/>
        </w:rPr>
      </w:pPr>
    </w:p>
    <w:p w:rsidR="001D0F97" w:rsidRPr="001D0F97" w:rsidRDefault="001D0F97" w:rsidP="001D0F97">
      <w:pPr>
        <w:pageBreakBefore/>
        <w:suppressAutoHyphens w:val="0"/>
        <w:autoSpaceDE w:val="0"/>
        <w:autoSpaceDN w:val="0"/>
        <w:adjustRightInd w:val="0"/>
        <w:jc w:val="both"/>
        <w:rPr>
          <w:rFonts w:eastAsia="Droid Sans Fallback"/>
          <w:sz w:val="32"/>
          <w:szCs w:val="32"/>
          <w:lang w:val="en-IN"/>
        </w:rPr>
      </w:pPr>
      <w:r w:rsidRPr="001D0F97">
        <w:rPr>
          <w:rFonts w:eastAsia="Droid Sans Fallback"/>
          <w:b/>
          <w:bCs/>
          <w:sz w:val="32"/>
          <w:szCs w:val="32"/>
          <w:lang w:val="en-IN"/>
        </w:rPr>
        <w:lastRenderedPageBreak/>
        <w:t xml:space="preserve">References </w:t>
      </w:r>
    </w:p>
    <w:p w:rsidR="001D0F97" w:rsidRPr="001D0F97" w:rsidRDefault="001D0F97" w:rsidP="001D0F97">
      <w:pPr>
        <w:suppressAutoHyphens w:val="0"/>
        <w:autoSpaceDE w:val="0"/>
        <w:autoSpaceDN w:val="0"/>
        <w:adjustRightInd w:val="0"/>
        <w:spacing w:after="183"/>
        <w:jc w:val="both"/>
        <w:rPr>
          <w:rFonts w:ascii="Cambria" w:eastAsia="Droid Sans Fallback" w:hAnsi="Cambria" w:cs="Cambria"/>
          <w:sz w:val="23"/>
          <w:szCs w:val="23"/>
          <w:lang w:val="en-IN"/>
        </w:rPr>
      </w:pPr>
      <w:r w:rsidRPr="001D0F97">
        <w:rPr>
          <w:rFonts w:ascii="Cambria" w:eastAsia="Droid Sans Fallback" w:hAnsi="Cambria" w:cs="Cambria"/>
          <w:sz w:val="23"/>
          <w:szCs w:val="23"/>
          <w:lang w:val="en-IN"/>
        </w:rPr>
        <w:t xml:space="preserve"> </w:t>
      </w:r>
      <w:r w:rsidRPr="001D0F97">
        <w:rPr>
          <w:rFonts w:eastAsia="Droid Sans Fallback"/>
          <w:sz w:val="23"/>
          <w:szCs w:val="23"/>
          <w:lang w:val="en-IN"/>
        </w:rPr>
        <w:t xml:space="preserve">www.google.com </w:t>
      </w:r>
    </w:p>
    <w:p w:rsidR="001D0F97" w:rsidRPr="001D0F97" w:rsidRDefault="001D0F97" w:rsidP="001D0F97">
      <w:pPr>
        <w:suppressAutoHyphens w:val="0"/>
        <w:autoSpaceDE w:val="0"/>
        <w:autoSpaceDN w:val="0"/>
        <w:adjustRightInd w:val="0"/>
        <w:spacing w:after="183"/>
        <w:jc w:val="both"/>
        <w:rPr>
          <w:rFonts w:ascii="Cambria" w:eastAsia="Droid Sans Fallback" w:hAnsi="Cambria" w:cs="Cambria"/>
          <w:sz w:val="23"/>
          <w:szCs w:val="23"/>
          <w:lang w:val="en-IN"/>
        </w:rPr>
      </w:pPr>
      <w:r w:rsidRPr="001D0F97">
        <w:rPr>
          <w:rFonts w:ascii="Cambria" w:eastAsia="Droid Sans Fallback" w:hAnsi="Cambria" w:cs="Cambria"/>
          <w:sz w:val="23"/>
          <w:szCs w:val="23"/>
          <w:lang w:val="en-IN"/>
        </w:rPr>
        <w:t xml:space="preserve"> </w:t>
      </w:r>
      <w:r w:rsidRPr="001D0F97">
        <w:rPr>
          <w:rFonts w:eastAsia="Droid Sans Fallback"/>
          <w:sz w:val="23"/>
          <w:szCs w:val="23"/>
          <w:lang w:val="en-IN"/>
        </w:rPr>
        <w:t xml:space="preserve">www.wikipedia.com </w:t>
      </w:r>
    </w:p>
    <w:p w:rsidR="001D0F97" w:rsidRPr="001D0F97" w:rsidRDefault="001D0F97" w:rsidP="001D0F97">
      <w:pPr>
        <w:suppressAutoHyphens w:val="0"/>
        <w:autoSpaceDE w:val="0"/>
        <w:autoSpaceDN w:val="0"/>
        <w:adjustRightInd w:val="0"/>
        <w:jc w:val="both"/>
        <w:rPr>
          <w:rFonts w:ascii="Cambria" w:eastAsia="Droid Sans Fallback" w:hAnsi="Cambria" w:cs="Cambria"/>
          <w:sz w:val="23"/>
          <w:szCs w:val="23"/>
          <w:lang w:val="en-IN"/>
        </w:rPr>
      </w:pPr>
      <w:r w:rsidRPr="001D0F97">
        <w:rPr>
          <w:rFonts w:ascii="Cambria" w:eastAsia="Droid Sans Fallback" w:hAnsi="Cambria" w:cs="Cambria"/>
          <w:sz w:val="23"/>
          <w:szCs w:val="23"/>
          <w:lang w:val="en-IN"/>
        </w:rPr>
        <w:t xml:space="preserve"> </w:t>
      </w:r>
      <w:r w:rsidRPr="001D0F97">
        <w:rPr>
          <w:rFonts w:eastAsia="Droid Sans Fallback"/>
          <w:sz w:val="23"/>
          <w:szCs w:val="23"/>
          <w:lang w:val="en-IN"/>
        </w:rPr>
        <w:t xml:space="preserve">www.studymafia.org </w:t>
      </w:r>
    </w:p>
    <w:p w:rsidR="009C2542" w:rsidRPr="009C2542" w:rsidRDefault="009C2542" w:rsidP="001D0F97">
      <w:pPr>
        <w:spacing w:line="600" w:lineRule="auto"/>
        <w:jc w:val="both"/>
        <w:rPr>
          <w:b/>
          <w:sz w:val="28"/>
          <w:szCs w:val="28"/>
        </w:rPr>
      </w:pPr>
    </w:p>
    <w:sectPr w:rsidR="009C2542" w:rsidRPr="009C2542" w:rsidSect="006A5A6E">
      <w:footerReference w:type="default" r:id="rId8"/>
      <w:pgSz w:w="12240" w:h="15840"/>
      <w:pgMar w:top="1233" w:right="1440" w:bottom="1440" w:left="1440" w:header="72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91F" w:rsidRDefault="0020191F" w:rsidP="006A5A6E">
      <w:r>
        <w:separator/>
      </w:r>
    </w:p>
  </w:endnote>
  <w:endnote w:type="continuationSeparator" w:id="0">
    <w:p w:rsidR="0020191F" w:rsidRDefault="0020191F" w:rsidP="006A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entury Schoolbook L">
    <w:altName w:val="Times New Roman"/>
    <w:charset w:val="01"/>
    <w:family w:val="roman"/>
    <w:pitch w:val="variable"/>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A3E" w:rsidRDefault="00F34A3E">
    <w:pPr>
      <w:pStyle w:val="Footer"/>
      <w:pBdr>
        <w:top w:val="thinThickSmallGap" w:sz="24" w:space="1" w:color="622423"/>
        <w:left w:val="nil"/>
        <w:bottom w:val="nil"/>
        <w:right w:val="nil"/>
      </w:pBdr>
      <w:rPr>
        <w:rFonts w:ascii="Cambria" w:hAnsi="Cambria"/>
      </w:rPr>
    </w:pPr>
    <w:proofErr w:type="spellStart"/>
    <w:r>
      <w:rPr>
        <w:rFonts w:ascii="Cambria" w:hAnsi="Cambria"/>
      </w:rPr>
      <w:t>Ch.Karthik</w:t>
    </w:r>
    <w:proofErr w:type="spellEnd"/>
    <w:r>
      <w:rPr>
        <w:rFonts w:ascii="Cambria" w:hAnsi="Cambria"/>
      </w:rPr>
      <w:t xml:space="preserve"> Dattu                                                                                                                                          An ATM with an Eye</w:t>
    </w:r>
  </w:p>
  <w:p w:rsidR="006A5A6E" w:rsidRDefault="00F34A3E">
    <w:pPr>
      <w:pStyle w:val="Footer"/>
      <w:pBdr>
        <w:top w:val="thinThickSmallGap" w:sz="24" w:space="1" w:color="622423"/>
        <w:left w:val="nil"/>
        <w:bottom w:val="nil"/>
        <w:right w:val="nil"/>
      </w:pBdr>
      <w:rPr>
        <w:rFonts w:ascii="Cambria" w:hAnsi="Cambria"/>
      </w:rPr>
    </w:pPr>
    <w:r>
      <w:rPr>
        <w:rFonts w:ascii="Cambria" w:hAnsi="Cambria"/>
      </w:rPr>
      <w:t>Section B</w:t>
    </w:r>
    <w:r w:rsidR="00916849">
      <w:rPr>
        <w:rFonts w:ascii="Cambria" w:hAnsi="Cambria"/>
      </w:rPr>
      <w:tab/>
      <w:t xml:space="preserve">Page </w:t>
    </w:r>
    <w:r w:rsidR="006A5A6E">
      <w:rPr>
        <w:rFonts w:ascii="Cambria" w:hAnsi="Cambria"/>
      </w:rPr>
      <w:fldChar w:fldCharType="begin"/>
    </w:r>
    <w:r w:rsidR="00916849">
      <w:instrText>PAGE</w:instrText>
    </w:r>
    <w:r w:rsidR="006A5A6E">
      <w:fldChar w:fldCharType="separate"/>
    </w:r>
    <w:r w:rsidR="00C7621F">
      <w:rPr>
        <w:noProof/>
      </w:rPr>
      <w:t>22</w:t>
    </w:r>
    <w:r w:rsidR="006A5A6E">
      <w:fldChar w:fldCharType="end"/>
    </w:r>
  </w:p>
  <w:p w:rsidR="006A5A6E" w:rsidRDefault="006A5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91F" w:rsidRDefault="0020191F" w:rsidP="006A5A6E">
      <w:r>
        <w:separator/>
      </w:r>
    </w:p>
  </w:footnote>
  <w:footnote w:type="continuationSeparator" w:id="0">
    <w:p w:rsidR="0020191F" w:rsidRDefault="0020191F" w:rsidP="006A5A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6E"/>
    <w:rsid w:val="001D0F97"/>
    <w:rsid w:val="001E196B"/>
    <w:rsid w:val="0020191F"/>
    <w:rsid w:val="00300D5D"/>
    <w:rsid w:val="004F0908"/>
    <w:rsid w:val="005823A4"/>
    <w:rsid w:val="006A5A6E"/>
    <w:rsid w:val="007C33ED"/>
    <w:rsid w:val="00853AA8"/>
    <w:rsid w:val="00916849"/>
    <w:rsid w:val="009C2542"/>
    <w:rsid w:val="00BC7291"/>
    <w:rsid w:val="00C7621F"/>
    <w:rsid w:val="00F3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00F8"/>
  <w15:docId w15:val="{B0519969-EDBC-4BEB-AF72-147E2278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7320"/>
    <w:pPr>
      <w:suppressAutoHyphens/>
      <w:spacing w:line="240" w:lineRule="auto"/>
    </w:pPr>
    <w:rPr>
      <w:rFonts w:ascii="Times New Roman" w:eastAsia="Times New Roman" w:hAnsi="Times New Roman"/>
      <w:sz w:val="20"/>
      <w:szCs w:val="20"/>
    </w:rPr>
  </w:style>
  <w:style w:type="paragraph" w:styleId="Heading4">
    <w:name w:val="heading 4"/>
    <w:basedOn w:val="Normal"/>
    <w:next w:val="Normal"/>
    <w:link w:val="Heading4Char"/>
    <w:qFormat/>
    <w:rsid w:val="00687320"/>
    <w:pPr>
      <w:keepNext/>
      <w:jc w:val="center"/>
      <w:outlineLvl w:val="3"/>
    </w:pPr>
    <w:rPr>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87320"/>
    <w:rPr>
      <w:rFonts w:ascii="Times New Roman" w:eastAsia="Times New Roman" w:hAnsi="Times New Roman" w:cs="Times New Roman"/>
      <w:sz w:val="36"/>
      <w:szCs w:val="24"/>
    </w:rPr>
  </w:style>
  <w:style w:type="character" w:customStyle="1" w:styleId="HeaderChar">
    <w:name w:val="Header Char"/>
    <w:basedOn w:val="DefaultParagraphFont"/>
    <w:link w:val="Header"/>
    <w:rsid w:val="00687320"/>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rsid w:val="00687320"/>
    <w:rPr>
      <w:rFonts w:ascii="Tahoma" w:eastAsia="Times New Roman" w:hAnsi="Tahoma" w:cs="Tahoma"/>
      <w:sz w:val="16"/>
      <w:szCs w:val="16"/>
    </w:rPr>
  </w:style>
  <w:style w:type="character" w:customStyle="1" w:styleId="FooterChar">
    <w:name w:val="Footer Char"/>
    <w:basedOn w:val="DefaultParagraphFont"/>
    <w:link w:val="Footer"/>
    <w:uiPriority w:val="99"/>
    <w:rsid w:val="00FB143B"/>
    <w:rPr>
      <w:rFonts w:ascii="Times New Roman" w:eastAsia="Times New Roman" w:hAnsi="Times New Roman" w:cs="Times New Roman"/>
      <w:sz w:val="20"/>
      <w:szCs w:val="20"/>
    </w:rPr>
  </w:style>
  <w:style w:type="character" w:customStyle="1" w:styleId="apple-converted-space">
    <w:name w:val="apple-converted-space"/>
    <w:basedOn w:val="DefaultParagraphFont"/>
    <w:rsid w:val="0012425B"/>
  </w:style>
  <w:style w:type="character" w:customStyle="1" w:styleId="InternetLink">
    <w:name w:val="Internet Link"/>
    <w:basedOn w:val="DefaultParagraphFont"/>
    <w:uiPriority w:val="99"/>
    <w:unhideWhenUsed/>
    <w:rsid w:val="0012425B"/>
    <w:rPr>
      <w:color w:val="0000FF"/>
      <w:u w:val="single"/>
    </w:rPr>
  </w:style>
  <w:style w:type="character" w:customStyle="1" w:styleId="ListLabel1">
    <w:name w:val="ListLabel 1"/>
    <w:rsid w:val="006A5A6E"/>
    <w:rPr>
      <w:rFonts w:cs="Courier New"/>
    </w:rPr>
  </w:style>
  <w:style w:type="paragraph" w:customStyle="1" w:styleId="Heading">
    <w:name w:val="Heading"/>
    <w:basedOn w:val="Normal"/>
    <w:next w:val="TextBody"/>
    <w:rsid w:val="006A5A6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6A5A6E"/>
    <w:pPr>
      <w:spacing w:after="140" w:line="288" w:lineRule="auto"/>
    </w:pPr>
  </w:style>
  <w:style w:type="paragraph" w:styleId="List">
    <w:name w:val="List"/>
    <w:basedOn w:val="TextBody"/>
    <w:rsid w:val="006A5A6E"/>
    <w:rPr>
      <w:rFonts w:cs="FreeSans"/>
    </w:rPr>
  </w:style>
  <w:style w:type="paragraph" w:styleId="Caption">
    <w:name w:val="caption"/>
    <w:basedOn w:val="Normal"/>
    <w:rsid w:val="006A5A6E"/>
    <w:pPr>
      <w:suppressLineNumbers/>
      <w:spacing w:before="120" w:after="120"/>
    </w:pPr>
    <w:rPr>
      <w:rFonts w:cs="FreeSans"/>
      <w:i/>
      <w:iCs/>
      <w:sz w:val="24"/>
      <w:szCs w:val="24"/>
    </w:rPr>
  </w:style>
  <w:style w:type="paragraph" w:customStyle="1" w:styleId="Index">
    <w:name w:val="Index"/>
    <w:basedOn w:val="Normal"/>
    <w:rsid w:val="006A5A6E"/>
    <w:pPr>
      <w:suppressLineNumbers/>
    </w:pPr>
    <w:rPr>
      <w:rFonts w:cs="FreeSans"/>
    </w:rPr>
  </w:style>
  <w:style w:type="paragraph" w:styleId="Header">
    <w:name w:val="header"/>
    <w:basedOn w:val="Normal"/>
    <w:link w:val="HeaderChar"/>
    <w:unhideWhenUsed/>
    <w:rsid w:val="00687320"/>
    <w:pPr>
      <w:tabs>
        <w:tab w:val="center" w:pos="4513"/>
        <w:tab w:val="right" w:pos="9026"/>
      </w:tabs>
    </w:pPr>
  </w:style>
  <w:style w:type="paragraph" w:styleId="BalloonText">
    <w:name w:val="Balloon Text"/>
    <w:basedOn w:val="Normal"/>
    <w:link w:val="BalloonTextChar"/>
    <w:uiPriority w:val="99"/>
    <w:semiHidden/>
    <w:unhideWhenUsed/>
    <w:rsid w:val="00687320"/>
    <w:rPr>
      <w:rFonts w:ascii="Tahoma" w:hAnsi="Tahoma" w:cs="Tahoma"/>
      <w:sz w:val="16"/>
      <w:szCs w:val="16"/>
    </w:rPr>
  </w:style>
  <w:style w:type="paragraph" w:styleId="Footer">
    <w:name w:val="footer"/>
    <w:basedOn w:val="Normal"/>
    <w:link w:val="FooterChar"/>
    <w:uiPriority w:val="99"/>
    <w:unhideWhenUsed/>
    <w:rsid w:val="00FB143B"/>
    <w:pPr>
      <w:tabs>
        <w:tab w:val="center" w:pos="4680"/>
        <w:tab w:val="right" w:pos="9360"/>
      </w:tabs>
    </w:pPr>
  </w:style>
  <w:style w:type="paragraph" w:customStyle="1" w:styleId="Default">
    <w:name w:val="Default"/>
    <w:rsid w:val="0012425B"/>
    <w:pPr>
      <w:suppressAutoHyphens/>
      <w:spacing w:line="240" w:lineRule="auto"/>
    </w:pPr>
    <w:rPr>
      <w:rFonts w:ascii="Times New Roman" w:hAnsi="Times New Roman"/>
      <w:color w:val="000000"/>
      <w:sz w:val="24"/>
      <w:szCs w:val="24"/>
    </w:rPr>
  </w:style>
  <w:style w:type="paragraph" w:styleId="ListParagraph">
    <w:name w:val="List Paragraph"/>
    <w:basedOn w:val="Normal"/>
    <w:uiPriority w:val="34"/>
    <w:qFormat/>
    <w:rsid w:val="008778E2"/>
    <w:pPr>
      <w:ind w:left="720"/>
      <w:contextualSpacing/>
    </w:pPr>
  </w:style>
  <w:style w:type="paragraph" w:customStyle="1" w:styleId="FrameContents">
    <w:name w:val="Frame Contents"/>
    <w:basedOn w:val="Normal"/>
    <w:rsid w:val="006A5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5CB25-7A3D-4219-A832-DF7A7CCA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29</Pages>
  <Words>7816</Words>
  <Characters>44552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vyshu</dc:creator>
  <cp:lastModifiedBy>karthik Dattu</cp:lastModifiedBy>
  <cp:revision>6</cp:revision>
  <dcterms:created xsi:type="dcterms:W3CDTF">2017-04-08T18:35:00Z</dcterms:created>
  <dcterms:modified xsi:type="dcterms:W3CDTF">2017-04-08T18:54:00Z</dcterms:modified>
  <dc:language>en-IN</dc:language>
</cp:coreProperties>
</file>