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Georgia" w:hAnsi="Georgia" w:cs="Georgia"/>
          <w:sz w:val="52"/>
          <w:sz-cs w:val="52"/>
          <w:spacing w:val="0"/>
          <w:color w:val="64270E"/>
        </w:rPr>
        <w:t xml:space="preserve">MARCUS VANCE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34312E"/>
        </w:rPr>
        <w:t xml:space="preserve">Enterprise B2B Software Account Executive</w:t>
      </w:r>
    </w:p>
    <w:p>
      <w:pPr/>
      <w:r>
        <w:rPr>
          <w:rFonts w:ascii="Helvetica" w:hAnsi="Helvetica" w:cs="Helvetica"/>
          <w:sz w:val="22"/>
          <w:sz-cs w:val="22"/>
          <w:spacing w:val="0"/>
          <w:color w:val="655E59"/>
        </w:rPr>
        <w:t xml:space="preserve">New York, NY • marcus.vance@enterprisesales.com • +1 (212) 774-9023 • linkedin.com/in/marcusvance-sales</w:t>
      </w:r>
    </w:p>
    <w:p>
      <w:pPr>
        <w:spacing w:after="80"/>
      </w:pPr>
      <w:r>
        <w:rPr>
          <w:rFonts w:ascii="Helvetica" w:hAnsi="Helvetica" w:cs="Helvetica"/>
          <w:sz w:val="24"/>
          <w:sz-cs w:val="24"/>
          <w:b/>
          <w:spacing w:val="0"/>
          <w:color w:val="7E2F0D"/>
        </w:rPr>
        <w:t xml:space="preserve">EXECUTIVE BIOGRAPHY</w:t>
      </w:r>
    </w:p>
    <w:p>
      <w:pPr>
        <w:spacing w:after="80"/>
      </w:pPr>
      <w:r>
        <w:rPr>
          <w:rFonts w:ascii="Georgia" w:hAnsi="Georgia" w:cs="Georgia"/>
          <w:sz w:val="24"/>
          <w:sz-cs w:val="24"/>
          <w:spacing w:val="0"/>
          <w:color w:val="1F1C1B"/>
        </w:rPr>
        <w:t xml:space="preserve">Top-performing Enterprise SaaS Account Executive with 8+ years driving net-new revenue, closing 6-figure ARR contracts, and managing Fortune 500 strategic partnerships. 142% average quota achievement. Non-technical background in enterprise sales, pipeline generation, and customer negotiations.</w:t>
      </w:r>
    </w:p>
    <w:p>
      <w:pPr>
        <w:spacing w:after="80"/>
      </w:pPr>
      <w:r>
        <w:rPr>
          <w:rFonts w:ascii="Helvetica" w:hAnsi="Helvetica" w:cs="Helvetica"/>
          <w:sz w:val="24"/>
          <w:sz-cs w:val="24"/>
          <w:b/>
          <w:spacing w:val="0"/>
          <w:color w:val="7E2F0D"/>
        </w:rPr>
        <w:t xml:space="preserve">SALES EXPERTISE &amp; METHODOLOGIES</w:t>
      </w:r>
    </w:p>
    <w:p>
      <w:pPr>
        <w:spacing w:after="80"/>
      </w:pPr>
      <w:r>
        <w:rPr>
          <w:rFonts w:ascii="Georgia" w:hAnsi="Georgia" w:cs="Georgia"/>
          <w:sz w:val="24"/>
          <w:sz-cs w:val="24"/>
          <w:b/>
          <w:spacing w:val="0"/>
          <w:color w:val="1F1C1B"/>
        </w:rPr>
        <w:t xml:space="preserve">Core Competencies:</w:t>
      </w:r>
      <w:r>
        <w:rPr>
          <w:rFonts w:ascii="Georgia" w:hAnsi="Georgia" w:cs="Georgia"/>
          <w:sz w:val="24"/>
          <w:sz-cs w:val="24"/>
          <w:spacing w:val="0"/>
          <w:color w:val="1F1C1B"/>
        </w:rPr>
        <w:t xml:space="preserve"> Enterprise B2B Sales, MEDDPICC, Challenger Sales, C-Suite Negotiations, Pipeline Management</w:t>
      </w:r>
    </w:p>
    <w:p>
      <w:pPr>
        <w:spacing w:after="80"/>
      </w:pPr>
      <w:r>
        <w:rPr>
          <w:rFonts w:ascii="Georgia" w:hAnsi="Georgia" w:cs="Georgia"/>
          <w:sz w:val="24"/>
          <w:sz-cs w:val="24"/>
          <w:b/>
          <w:spacing w:val="0"/>
          <w:color w:val="1F1C1B"/>
        </w:rPr>
        <w:t xml:space="preserve">Software &amp; CRM:</w:t>
      </w:r>
      <w:r>
        <w:rPr>
          <w:rFonts w:ascii="Georgia" w:hAnsi="Georgia" w:cs="Georgia"/>
          <w:sz w:val="24"/>
          <w:sz-cs w:val="24"/>
          <w:spacing w:val="0"/>
          <w:color w:val="1F1C1B"/>
        </w:rPr>
        <w:t xml:space="preserve"> Salesforce CRM, Outreach.io, Gong, ZoomInfo, LinkedIn Sales Navigator</w:t>
      </w:r>
    </w:p>
    <w:p>
      <w:pPr>
        <w:spacing w:after="80"/>
      </w:pPr>
      <w:r>
        <w:rPr>
          <w:rFonts w:ascii="Helvetica" w:hAnsi="Helvetica" w:cs="Helvetica"/>
          <w:sz w:val="24"/>
          <w:sz-cs w:val="24"/>
          <w:b/>
          <w:spacing w:val="0"/>
          <w:color w:val="7E2F0D"/>
        </w:rPr>
        <w:t xml:space="preserve">SALES LEADERSHIP EXPERIENCE</w:t>
      </w:r>
    </w:p>
    <w:p>
      <w:pPr>
        <w:spacing w:after="80"/>
      </w:pPr>
      <w:r>
        <w:rPr>
          <w:rFonts w:ascii="Georgia" w:hAnsi="Georgia" w:cs="Georgia"/>
          <w:sz w:val="24"/>
          <w:sz-cs w:val="24"/>
          <w:b/>
          <w:spacing w:val="0"/>
          <w:color w:val="1F1C1B"/>
        </w:rPr>
        <w:t xml:space="preserve">Senior Enterprise Account Executive</w:t>
      </w:r>
      <w:r>
        <w:rPr>
          <w:rFonts w:ascii="Georgia" w:hAnsi="Georgia" w:cs="Georgia"/>
          <w:sz w:val="24"/>
          <w:sz-cs w:val="24"/>
          <w:spacing w:val="0"/>
          <w:color w:val="1F1C1B"/>
        </w:rPr>
        <w:t xml:space="preserve"> | Datasync Global (2021 – Present)</w:t>
      </w:r>
    </w:p>
    <w:p>
      <w:pPr>
        <w:ind w:left="720" w:first-line="-720"/>
        <w:spacing w:after="60"/>
      </w:pPr>
      <w:r>
        <w:rPr>
          <w:rFonts w:ascii="Georgia" w:hAnsi="Georgia" w:cs="Georgia"/>
          <w:sz w:val="23"/>
          <w:sz-cs w:val="23"/>
          <w:color w:val="1F1C1B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3"/>
          <w:sz-cs w:val="23"/>
          <w:spacing w:val="0"/>
          <w:color w:val="1F1C1B"/>
        </w:rPr>
        <w:t xml:space="preserve">Generated $2.8M in net-new ARR across financial services and healthcare enterprise accounts.</w:t>
      </w:r>
    </w:p>
    <w:p>
      <w:pPr>
        <w:ind w:left="720" w:first-line="-720"/>
        <w:spacing w:after="60"/>
      </w:pPr>
      <w:r>
        <w:rPr>
          <w:rFonts w:ascii="Georgia" w:hAnsi="Georgia" w:cs="Georgia"/>
          <w:sz w:val="23"/>
          <w:sz-cs w:val="23"/>
          <w:color w:val="1F1C1B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3"/>
          <w:sz-cs w:val="23"/>
          <w:spacing w:val="0"/>
          <w:color w:val="1F1C1B"/>
        </w:rPr>
        <w:t xml:space="preserve">Exceeded annual quota at 138% in 2023 and 144% in 2024; named President's Club recipient.</w:t>
      </w:r>
    </w:p>
    <w:p>
      <w:pPr>
        <w:ind w:left="720" w:first-line="-720"/>
        <w:spacing w:after="60"/>
      </w:pPr>
      <w:r>
        <w:rPr>
          <w:rFonts w:ascii="Georgia" w:hAnsi="Georgia" w:cs="Georgia"/>
          <w:sz w:val="23"/>
          <w:sz-cs w:val="23"/>
          <w:color w:val="1F1C1B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3"/>
          <w:sz-cs w:val="23"/>
          <w:spacing w:val="0"/>
          <w:color w:val="1F1C1B"/>
        </w:rPr>
        <w:t xml:space="preserve">Led complex multi-stakeholder RFP evaluations, negotiating MSAs with legal and procurement teams.</w:t>
      </w:r>
    </w:p>
    <w:p>
      <w:pPr>
        <w:spacing w:after="80"/>
      </w:pPr>
      <w:r>
        <w:rPr>
          <w:rFonts w:ascii="Georgia" w:hAnsi="Georgia" w:cs="Georgia"/>
          <w:sz w:val="24"/>
          <w:sz-cs w:val="24"/>
          <w:b/>
          <w:spacing w:val="0"/>
          <w:color w:val="1F1C1B"/>
        </w:rPr>
        <w:t xml:space="preserve">Account Executive</w:t>
      </w:r>
      <w:r>
        <w:rPr>
          <w:rFonts w:ascii="Georgia" w:hAnsi="Georgia" w:cs="Georgia"/>
          <w:sz w:val="24"/>
          <w:sz-cs w:val="24"/>
          <w:spacing w:val="0"/>
          <w:color w:val="1F1C1B"/>
        </w:rPr>
        <w:t xml:space="preserve"> | CloudMetrics SaaS (2018 – 2021)</w:t>
      </w:r>
    </w:p>
    <w:p>
      <w:pPr>
        <w:ind w:left="720" w:first-line="-720"/>
        <w:spacing w:after="60"/>
      </w:pPr>
      <w:r>
        <w:rPr>
          <w:rFonts w:ascii="Georgia" w:hAnsi="Georgia" w:cs="Georgia"/>
          <w:sz w:val="23"/>
          <w:sz-cs w:val="23"/>
          <w:color w:val="1F1C1B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3"/>
          <w:sz-cs w:val="23"/>
          <w:spacing w:val="0"/>
          <w:color w:val="1F1C1B"/>
        </w:rPr>
        <w:t xml:space="preserve">Managed 45-client pipeline, consistently sourcing 35% of self-generated pipeline.</w:t>
      </w:r>
    </w:p>
    <w:p>
      <w:pPr>
        <w:spacing w:after="80"/>
      </w:pPr>
      <w:r>
        <w:rPr>
          <w:rFonts w:ascii="Helvetica" w:hAnsi="Helvetica" w:cs="Helvetica"/>
          <w:sz w:val="24"/>
          <w:sz-cs w:val="24"/>
          <w:b/>
          <w:spacing w:val="0"/>
          <w:color w:val="7E2F0D"/>
        </w:rPr>
        <w:t xml:space="preserve">EDUCATION</w:t>
      </w:r>
    </w:p>
    <w:p>
      <w:pPr>
        <w:spacing w:after="80"/>
      </w:pPr>
      <w:r>
        <w:rPr>
          <w:rFonts w:ascii="Georgia" w:hAnsi="Georgia" w:cs="Georgia"/>
          <w:sz w:val="24"/>
          <w:sz-cs w:val="24"/>
          <w:b/>
          <w:spacing w:val="0"/>
          <w:color w:val="1F1C1B"/>
        </w:rPr>
        <w:t xml:space="preserve">B.A. in Business Administration &amp; Marketing</w:t>
      </w:r>
      <w:r>
        <w:rPr>
          <w:rFonts w:ascii="Georgia" w:hAnsi="Georgia" w:cs="Georgia"/>
          <w:sz w:val="24"/>
          <w:sz-cs w:val="24"/>
          <w:spacing w:val="0"/>
          <w:color w:val="1F1C1B"/>
        </w:rPr>
        <w:t xml:space="preserve"> — New York University, Stern School of Business (2018)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