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Prism Earth</w:t>
      </w:r>
    </w:p>
    <w:p>
      <w:pPr>
        <w:pStyle w:val="Subtitle"/>
        <w:rPr/>
      </w:pPr>
      <w:r>
        <w:rPr/>
        <w:t>Software Requirements Specification (SRS) — Version 1.0</w:t>
      </w:r>
    </w:p>
    <w:p>
      <w:pPr>
        <w:pStyle w:val="Author"/>
        <w:rPr/>
      </w:pPr>
      <w:r>
        <w:rPr/>
        <w:t>Prism Earth Engineering</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"1-3" \u \h</w:instrText>
          </w:r>
          <w:r>
            <w:rPr/>
            <w:fldChar w:fldCharType="separate"/>
          </w:r>
          <w:r>
            <w:rPr/>
          </w:r>
          <w:r>
            <w:rPr/>
            <w:fldChar w:fldCharType="end"/>
          </w:r>
        </w:p>
      </w:sdtContent>
    </w:sdt>
    <w:p>
      <w:pPr>
        <w:pStyle w:val="Heading1"/>
        <w:rPr/>
      </w:pPr>
      <w:bookmarkStart w:id="0" w:name="executive-summary"/>
      <w:r>
        <w:rPr>
          <w:rStyle w:val="SectionNumber"/>
        </w:rPr>
        <w:t>1</w:t>
      </w:r>
      <w:r>
        <w:rPr/>
        <w:tab/>
        <w:t>Executive Summary</w:t>
      </w:r>
    </w:p>
    <w:p>
      <w:pPr>
        <w:pStyle w:val="FirstParagraph"/>
        <w:rPr/>
      </w:pPr>
      <w:r>
        <w:rPr/>
        <w:t>Prism Earth is a production-grade geospatial intelligence platform designed to provide accurate, deterministic, and citation-backed environmental intelligence for any geographical coordinate in India. Inspired by the architectural principles of Mireye Earth, the platform replaces proprietary risk scoring with transparent, verifiable, and government-sourced geospatial data.</w:t>
      </w:r>
    </w:p>
    <w:p>
      <w:pPr>
        <w:pStyle w:val="BodyText"/>
        <w:rPr/>
      </w:pPr>
      <w:r>
        <w:rPr/>
        <w:t>The platform aggregates data from multiple trusted Indian and global geospatial sources, processes them through a standardized data pipeline, and exposes the information through modern REST APIs and an intelligent natural-language interface. Every value returned by the platform includes complete provenance — the originating dataset, retrieval timestamp, confidence level, and citation URL — ensuring complete transparency and auditability.</w:t>
      </w:r>
    </w:p>
    <w:p>
      <w:pPr>
        <w:pStyle w:val="BodyText"/>
        <w:rPr/>
      </w:pPr>
      <w:r>
        <w:rPr/>
        <w:t>Unlike conventional GIS applications that return static maps or opaque analytical scores, Prism Earth is designed as an enterprise-ready geospatial intelligence platform capable of answering complex natural-language questions using a deterministic Planner–Fetcher–Synthesizer architecture. Every response is backed by verifiable evidence and can be independently validated.</w:t>
      </w:r>
    </w:p>
    <w:p>
      <w:pPr>
        <w:pStyle w:val="BodyText"/>
        <w:rPr/>
      </w:pPr>
      <w:r>
        <w:rPr/>
        <w:t xml:space="preserve">The initial production release focuses on a single pilot region to ensure high-quality implementation, robust testing, and production stability. The pilot region and its supported datasets are defined in the </w:t>
      </w:r>
      <w:r>
        <w:rPr>
          <w:i/>
          <w:iCs/>
        </w:rPr>
        <w:t>Telangana MVP</w:t>
      </w:r>
      <w:r>
        <w:rPr/>
        <w:t xml:space="preserve"> chapter. The architecture is intentionally designed to support seamless expansion to all Indian states and union territories without requiring significant architectural changes.</w:t>
      </w:r>
    </w:p>
    <w:p>
      <w:pPr>
        <w:pStyle w:val="BodyText"/>
        <w:rPr/>
      </w:pPr>
      <w:r>
        <w:rPr/>
        <w:t>The purpose of Prism Earth is to create a centralized geospatial intelligence platform that enables businesses, government organizations, researchers, and AI systems to access reliable environmental, terrain, climate, land-use, and hazard information through a unified interface.</w:t>
      </w:r>
    </w:p>
    <w:p>
      <w:pPr>
        <w:pStyle w:val="BodyText"/>
        <w:rPr/>
      </w:pPr>
      <w:r>
        <w:rPr/>
        <w:t>The platform aims to solve several existing challenges:</w:t>
      </w:r>
    </w:p>
    <w:p>
      <w:pPr>
        <w:pStyle w:val="Compact"/>
        <w:numPr>
          <w:ilvl w:val="0"/>
          <w:numId w:val="1"/>
        </w:numPr>
        <w:rPr/>
      </w:pPr>
      <w:r>
        <w:rPr/>
        <w:t>Fragmented government datasets</w:t>
      </w:r>
    </w:p>
    <w:p>
      <w:pPr>
        <w:pStyle w:val="Compact"/>
        <w:numPr>
          <w:ilvl w:val="0"/>
          <w:numId w:val="1"/>
        </w:numPr>
        <w:rPr/>
      </w:pPr>
      <w:r>
        <w:rPr/>
        <w:t>Lack of standardized APIs</w:t>
      </w:r>
    </w:p>
    <w:p>
      <w:pPr>
        <w:pStyle w:val="Compact"/>
        <w:numPr>
          <w:ilvl w:val="0"/>
          <w:numId w:val="1"/>
        </w:numPr>
        <w:rPr/>
      </w:pPr>
      <w:r>
        <w:rPr/>
        <w:t>Inconsistent geospatial processing</w:t>
      </w:r>
    </w:p>
    <w:p>
      <w:pPr>
        <w:pStyle w:val="Compact"/>
        <w:numPr>
          <w:ilvl w:val="0"/>
          <w:numId w:val="1"/>
        </w:numPr>
        <w:rPr/>
      </w:pPr>
      <w:r>
        <w:rPr/>
        <w:t>Poor data provenance</w:t>
      </w:r>
    </w:p>
    <w:p>
      <w:pPr>
        <w:pStyle w:val="Compact"/>
        <w:numPr>
          <w:ilvl w:val="0"/>
          <w:numId w:val="1"/>
        </w:numPr>
        <w:rPr/>
      </w:pPr>
      <w:r>
        <w:rPr/>
        <w:t>Limited transparency in environmental risk assessment</w:t>
      </w:r>
    </w:p>
    <w:p>
      <w:pPr>
        <w:pStyle w:val="Compact"/>
        <w:numPr>
          <w:ilvl w:val="0"/>
          <w:numId w:val="1"/>
        </w:numPr>
        <w:rPr/>
      </w:pPr>
      <w:r>
        <w:rPr/>
        <w:t>Difficulty integrating Indian geospatial datasets into modern AI systems</w:t>
      </w:r>
    </w:p>
    <w:p>
      <w:pPr>
        <w:pStyle w:val="Heading2"/>
        <w:rPr/>
      </w:pPr>
      <w:bookmarkStart w:id="1" w:name="expected-deliverables"/>
      <w:r>
        <w:rPr>
          <w:rStyle w:val="SectionNumber"/>
        </w:rPr>
        <w:t>1.1</w:t>
      </w:r>
      <w:r>
        <w:rPr/>
        <w:tab/>
        <w:t>Expected Deliverables</w:t>
      </w:r>
    </w:p>
    <w:p>
      <w:pPr>
        <w:pStyle w:val="FirstParagraph"/>
        <w:rPr/>
      </w:pPr>
      <w:r>
        <w:rPr/>
        <w:t>Upon completion, the platform shall provide:</w:t>
      </w:r>
    </w:p>
    <w:p>
      <w:pPr>
        <w:pStyle w:val="Compact"/>
        <w:numPr>
          <w:ilvl w:val="0"/>
          <w:numId w:val="30"/>
        </w:numPr>
        <w:rPr/>
      </w:pPr>
      <w:r>
        <w:rPr/>
        <w:t>Production-ready REST APIs</w:t>
      </w:r>
    </w:p>
    <w:p>
      <w:pPr>
        <w:pStyle w:val="Compact"/>
        <w:numPr>
          <w:ilvl w:val="0"/>
          <w:numId w:val="31"/>
        </w:numPr>
        <w:rPr/>
      </w:pPr>
      <w:r>
        <w:rPr/>
        <w:t>Interactive web application</w:t>
      </w:r>
    </w:p>
    <w:p>
      <w:pPr>
        <w:pStyle w:val="Compact"/>
        <w:numPr>
          <w:ilvl w:val="0"/>
          <w:numId w:val="32"/>
        </w:numPr>
        <w:rPr/>
      </w:pPr>
      <w:r>
        <w:rPr/>
        <w:t>AI-powered geospatial assistant</w:t>
      </w:r>
    </w:p>
    <w:p>
      <w:pPr>
        <w:pStyle w:val="Compact"/>
        <w:numPr>
          <w:ilvl w:val="0"/>
          <w:numId w:val="33"/>
        </w:numPr>
        <w:rPr/>
      </w:pPr>
      <w:r>
        <w:rPr/>
        <w:t>Deterministic data retrieval engine</w:t>
      </w:r>
    </w:p>
    <w:p>
      <w:pPr>
        <w:pStyle w:val="Compact"/>
        <w:numPr>
          <w:ilvl w:val="0"/>
          <w:numId w:val="34"/>
        </w:numPr>
        <w:rPr/>
      </w:pPr>
      <w:r>
        <w:rPr/>
        <w:t>Complete provenance tracking</w:t>
      </w:r>
    </w:p>
    <w:p>
      <w:pPr>
        <w:pStyle w:val="Compact"/>
        <w:numPr>
          <w:ilvl w:val="0"/>
          <w:numId w:val="35"/>
        </w:numPr>
        <w:rPr/>
      </w:pPr>
      <w:r>
        <w:rPr/>
        <w:t>Citation management system</w:t>
      </w:r>
    </w:p>
    <w:p>
      <w:pPr>
        <w:pStyle w:val="Compact"/>
        <w:numPr>
          <w:ilvl w:val="0"/>
          <w:numId w:val="36"/>
        </w:numPr>
        <w:rPr/>
      </w:pPr>
      <w:r>
        <w:rPr/>
        <w:t>Multi-source dataset integration</w:t>
      </w:r>
    </w:p>
    <w:p>
      <w:pPr>
        <w:pStyle w:val="Compact"/>
        <w:numPr>
          <w:ilvl w:val="0"/>
          <w:numId w:val="37"/>
        </w:numPr>
        <w:rPr/>
      </w:pPr>
      <w:r>
        <w:rPr/>
        <w:t>MCP (Model Context Protocol) server</w:t>
      </w:r>
    </w:p>
    <w:p>
      <w:pPr>
        <w:pStyle w:val="Compact"/>
        <w:numPr>
          <w:ilvl w:val="0"/>
          <w:numId w:val="38"/>
        </w:numPr>
        <w:rPr/>
      </w:pPr>
      <w:r>
        <w:rPr/>
        <w:t>Dockerized deployment</w:t>
      </w:r>
    </w:p>
    <w:p>
      <w:pPr>
        <w:pStyle w:val="Compact"/>
        <w:numPr>
          <w:ilvl w:val="0"/>
          <w:numId w:val="39"/>
        </w:numPr>
        <w:rPr/>
      </w:pPr>
      <w:r>
        <w:rPr/>
        <w:t>Automated testing suite</w:t>
      </w:r>
    </w:p>
    <w:p>
      <w:pPr>
        <w:pStyle w:val="Compact"/>
        <w:numPr>
          <w:ilvl w:val="0"/>
          <w:numId w:val="40"/>
        </w:numPr>
        <w:rPr/>
      </w:pPr>
      <w:bookmarkStart w:id="2" w:name="executive-summary"/>
      <w:bookmarkStart w:id="3" w:name="expected-deliverables"/>
      <w:r>
        <w:rPr/>
        <w:t>Comprehensive developer documentation</w:t>
      </w:r>
      <w:bookmarkEnd w:id="2"/>
      <w:bookmarkEnd w:id="3"/>
    </w:p>
    <w:p>
      <w:pPr>
        <w:pStyle w:val="Heading1"/>
        <w:rPr/>
      </w:pPr>
      <w:bookmarkStart w:id="4" w:name="product-vision"/>
      <w:r>
        <w:rPr>
          <w:rStyle w:val="SectionNumber"/>
        </w:rPr>
        <w:t>2</w:t>
      </w:r>
      <w:r>
        <w:rPr/>
        <w:tab/>
        <w:t>Product Vision</w:t>
      </w:r>
    </w:p>
    <w:p>
      <w:pPr>
        <w:pStyle w:val="Heading2"/>
        <w:rPr/>
      </w:pPr>
      <w:bookmarkStart w:id="5" w:name="vision-statement"/>
      <w:r>
        <w:rPr>
          <w:rStyle w:val="SectionNumber"/>
        </w:rPr>
        <w:t>2.1</w:t>
      </w:r>
      <w:r>
        <w:rPr/>
        <w:tab/>
        <w:t>Vision Statement</w:t>
      </w:r>
    </w:p>
    <w:p>
      <w:pPr>
        <w:pStyle w:val="FirstParagraph"/>
        <w:rPr/>
      </w:pPr>
      <w:bookmarkStart w:id="6" w:name="vision-statement"/>
      <w:r>
        <w:rPr/>
        <w:t>To become India’s most trusted and transparent geospatial intelligence platform by providing deterministic, citation-backed environmental data through modern APIs, artificial intelligence, and enterprise-grade software architecture.</w:t>
      </w:r>
      <w:bookmarkEnd w:id="6"/>
    </w:p>
    <w:p>
      <w:pPr>
        <w:pStyle w:val="Heading2"/>
        <w:rPr/>
      </w:pPr>
      <w:bookmarkStart w:id="7" w:name="long-term-vision"/>
      <w:r>
        <w:rPr>
          <w:rStyle w:val="SectionNumber"/>
        </w:rPr>
        <w:t>2.2</w:t>
      </w:r>
      <w:r>
        <w:rPr/>
        <w:tab/>
        <w:t>Long-Term Vision</w:t>
      </w:r>
    </w:p>
    <w:p>
      <w:pPr>
        <w:pStyle w:val="FirstParagraph"/>
        <w:rPr/>
      </w:pPr>
      <w:r>
        <w:rPr/>
        <w:t>Prism Earth is not intended to be a single application. It is envisioned as a scalable geospatial platform that evolves into the standard infrastructure layer for environmental intelligence across India.</w:t>
      </w:r>
    </w:p>
    <w:p>
      <w:pPr>
        <w:pStyle w:val="BodyText"/>
        <w:rPr/>
      </w:pPr>
      <w:r>
        <w:rPr/>
        <w:t>The platform will provide developers, enterprises, financial institutions, insurers, infrastructure companies, researchers, and government organizations with reliable access to high-quality geospatial information without requiring expertise in remote sensing or GIS.</w:t>
      </w:r>
    </w:p>
    <w:p>
      <w:pPr>
        <w:pStyle w:val="BodyText"/>
        <w:rPr/>
      </w:pPr>
      <w:bookmarkStart w:id="8" w:name="long-term-vision"/>
      <w:r>
        <w:rPr/>
        <w:t>Every decision made by the platform must be explainable, reproducible, and supported by publicly verifiable data sources.</w:t>
      </w:r>
      <w:bookmarkEnd w:id="8"/>
    </w:p>
    <w:p>
      <w:pPr>
        <w:pStyle w:val="Heading2"/>
        <w:rPr/>
      </w:pPr>
      <w:bookmarkStart w:id="9" w:name="product-roadmap"/>
      <w:r>
        <w:rPr>
          <w:rStyle w:val="SectionNumber"/>
        </w:rPr>
        <w:t>2.3</w:t>
      </w:r>
      <w:r>
        <w:rPr/>
        <w:tab/>
        <w:t>Product Roadmap</w:t>
      </w:r>
    </w:p>
    <w:p>
      <w:pPr>
        <w:pStyle w:val="FirstParagraph"/>
        <w:rPr/>
      </w:pPr>
      <w:r>
        <w:rPr>
          <w:b/>
          <w:bCs/>
        </w:rPr>
        <w:t>Version 1.0 — Pilot Region</w:t>
      </w:r>
    </w:p>
    <w:p>
      <w:pPr>
        <w:pStyle w:val="Compact"/>
        <w:numPr>
          <w:ilvl w:val="0"/>
          <w:numId w:val="41"/>
        </w:numPr>
        <w:rPr/>
      </w:pPr>
      <w:r>
        <w:rPr/>
        <w:t>Terrain Intelligence</w:t>
      </w:r>
    </w:p>
    <w:p>
      <w:pPr>
        <w:pStyle w:val="Compact"/>
        <w:numPr>
          <w:ilvl w:val="0"/>
          <w:numId w:val="42"/>
        </w:numPr>
        <w:rPr/>
      </w:pPr>
      <w:r>
        <w:rPr/>
        <w:t>Elevation Analysis</w:t>
      </w:r>
    </w:p>
    <w:p>
      <w:pPr>
        <w:pStyle w:val="Compact"/>
        <w:numPr>
          <w:ilvl w:val="0"/>
          <w:numId w:val="43"/>
        </w:numPr>
        <w:rPr/>
      </w:pPr>
      <w:r>
        <w:rPr/>
        <w:t>Land Cover</w:t>
      </w:r>
    </w:p>
    <w:p>
      <w:pPr>
        <w:pStyle w:val="Compact"/>
        <w:numPr>
          <w:ilvl w:val="0"/>
          <w:numId w:val="44"/>
        </w:numPr>
        <w:rPr/>
      </w:pPr>
      <w:r>
        <w:rPr/>
        <w:t>Flood Intelligence</w:t>
      </w:r>
    </w:p>
    <w:p>
      <w:pPr>
        <w:pStyle w:val="Compact"/>
        <w:numPr>
          <w:ilvl w:val="0"/>
          <w:numId w:val="45"/>
        </w:numPr>
        <w:rPr/>
      </w:pPr>
      <w:r>
        <w:rPr/>
        <w:t>Climate Data</w:t>
      </w:r>
    </w:p>
    <w:p>
      <w:pPr>
        <w:pStyle w:val="Compact"/>
        <w:numPr>
          <w:ilvl w:val="0"/>
          <w:numId w:val="46"/>
        </w:numPr>
        <w:rPr/>
      </w:pPr>
      <w:r>
        <w:rPr/>
        <w:t>Administrative Boundaries</w:t>
      </w:r>
    </w:p>
    <w:p>
      <w:pPr>
        <w:pStyle w:val="Compact"/>
        <w:numPr>
          <w:ilvl w:val="0"/>
          <w:numId w:val="47"/>
        </w:numPr>
        <w:rPr/>
      </w:pPr>
      <w:r>
        <w:rPr/>
        <w:t>Natural Language Queries</w:t>
      </w:r>
    </w:p>
    <w:p>
      <w:pPr>
        <w:pStyle w:val="Compact"/>
        <w:numPr>
          <w:ilvl w:val="0"/>
          <w:numId w:val="48"/>
        </w:numPr>
        <w:rPr/>
      </w:pPr>
      <w:r>
        <w:rPr/>
        <w:t>Provenance Tracking</w:t>
      </w:r>
    </w:p>
    <w:p>
      <w:pPr>
        <w:pStyle w:val="FirstParagraph"/>
        <w:rPr/>
      </w:pPr>
      <w:r>
        <w:rPr>
          <w:b/>
          <w:bCs/>
        </w:rPr>
        <w:t>Version 2.0 — Andhra Pradesh, Karnataka</w:t>
      </w:r>
    </w:p>
    <w:p>
      <w:pPr>
        <w:pStyle w:val="Compact"/>
        <w:numPr>
          <w:ilvl w:val="0"/>
          <w:numId w:val="49"/>
        </w:numPr>
        <w:rPr/>
      </w:pPr>
      <w:r>
        <w:rPr/>
        <w:t>Agricultural Intelligence</w:t>
      </w:r>
    </w:p>
    <w:p>
      <w:pPr>
        <w:pStyle w:val="Compact"/>
        <w:numPr>
          <w:ilvl w:val="0"/>
          <w:numId w:val="50"/>
        </w:numPr>
        <w:rPr/>
      </w:pPr>
      <w:r>
        <w:rPr/>
        <w:t>Soil Analysis</w:t>
      </w:r>
    </w:p>
    <w:p>
      <w:pPr>
        <w:pStyle w:val="Compact"/>
        <w:numPr>
          <w:ilvl w:val="0"/>
          <w:numId w:val="51"/>
        </w:numPr>
        <w:rPr/>
      </w:pPr>
      <w:r>
        <w:rPr/>
        <w:t>Infrastructure Layers</w:t>
      </w:r>
    </w:p>
    <w:p>
      <w:pPr>
        <w:pStyle w:val="FirstParagraph"/>
        <w:rPr/>
      </w:pPr>
      <w:r>
        <w:rPr>
          <w:b/>
          <w:bCs/>
        </w:rPr>
        <w:t>Version 3.0 — Entire South India</w:t>
      </w:r>
    </w:p>
    <w:p>
      <w:pPr>
        <w:pStyle w:val="Compact"/>
        <w:numPr>
          <w:ilvl w:val="0"/>
          <w:numId w:val="52"/>
        </w:numPr>
        <w:rPr/>
      </w:pPr>
      <w:r>
        <w:rPr/>
        <w:t>Renewable Energy Siting</w:t>
      </w:r>
    </w:p>
    <w:p>
      <w:pPr>
        <w:pStyle w:val="Compact"/>
        <w:numPr>
          <w:ilvl w:val="0"/>
          <w:numId w:val="53"/>
        </w:numPr>
        <w:rPr/>
      </w:pPr>
      <w:r>
        <w:rPr/>
        <w:t>Construction Risk Analysis</w:t>
      </w:r>
    </w:p>
    <w:p>
      <w:pPr>
        <w:pStyle w:val="Compact"/>
        <w:numPr>
          <w:ilvl w:val="0"/>
          <w:numId w:val="54"/>
        </w:numPr>
        <w:rPr/>
      </w:pPr>
      <w:r>
        <w:rPr/>
        <w:t>Utility Infrastructure</w:t>
      </w:r>
    </w:p>
    <w:p>
      <w:pPr>
        <w:pStyle w:val="FirstParagraph"/>
        <w:rPr/>
      </w:pPr>
      <w:r>
        <w:rPr>
          <w:b/>
          <w:bCs/>
        </w:rPr>
        <w:t>Version 4.0 — Entire India</w:t>
      </w:r>
    </w:p>
    <w:p>
      <w:pPr>
        <w:pStyle w:val="Compact"/>
        <w:numPr>
          <w:ilvl w:val="0"/>
          <w:numId w:val="55"/>
        </w:numPr>
        <w:rPr/>
      </w:pPr>
      <w:r>
        <w:rPr/>
        <w:t>Multi-region deployment</w:t>
      </w:r>
    </w:p>
    <w:p>
      <w:pPr>
        <w:pStyle w:val="Compact"/>
        <w:numPr>
          <w:ilvl w:val="0"/>
          <w:numId w:val="56"/>
        </w:numPr>
        <w:rPr/>
      </w:pPr>
      <w:r>
        <w:rPr/>
        <w:t>Advanced analytics</w:t>
      </w:r>
    </w:p>
    <w:p>
      <w:pPr>
        <w:pStyle w:val="Compact"/>
        <w:numPr>
          <w:ilvl w:val="0"/>
          <w:numId w:val="57"/>
        </w:numPr>
        <w:rPr/>
      </w:pPr>
      <w:r>
        <w:rPr/>
        <w:t>Batch processing</w:t>
      </w:r>
    </w:p>
    <w:p>
      <w:pPr>
        <w:pStyle w:val="Compact"/>
        <w:numPr>
          <w:ilvl w:val="0"/>
          <w:numId w:val="58"/>
        </w:numPr>
        <w:rPr/>
      </w:pPr>
      <w:r>
        <w:rPr/>
        <w:t>Streaming updates</w:t>
      </w:r>
    </w:p>
    <w:p>
      <w:pPr>
        <w:pStyle w:val="Compact"/>
        <w:numPr>
          <w:ilvl w:val="0"/>
          <w:numId w:val="59"/>
        </w:numPr>
        <w:rPr/>
      </w:pPr>
      <w:bookmarkStart w:id="10" w:name="product-vision"/>
      <w:bookmarkStart w:id="11" w:name="product-roadmap"/>
      <w:r>
        <w:rPr/>
        <w:t>Commercial APIs</w:t>
      </w:r>
      <w:bookmarkEnd w:id="10"/>
      <w:bookmarkEnd w:id="11"/>
    </w:p>
    <w:p>
      <w:pPr>
        <w:pStyle w:val="Heading1"/>
        <w:rPr/>
      </w:pPr>
      <w:bookmarkStart w:id="12" w:name="business-objectives"/>
      <w:r>
        <w:rPr>
          <w:rStyle w:val="SectionNumber"/>
        </w:rPr>
        <w:t>3</w:t>
      </w:r>
      <w:r>
        <w:rPr/>
        <w:tab/>
        <w:t>Business Objectives</w:t>
      </w:r>
    </w:p>
    <w:p>
      <w:pPr>
        <w:pStyle w:val="FirstParagraph"/>
        <w:rPr/>
      </w:pPr>
      <w:r>
        <w:rPr/>
        <w:t>The primary business objective of Prism Earth is to establish a reliable geospatial intelligence platform capable of serving multiple industries through standardized environmental data services.</w:t>
      </w:r>
    </w:p>
    <w:p>
      <w:pPr>
        <w:pStyle w:val="BodyText"/>
        <w:rPr/>
      </w:pPr>
      <w:r>
        <w:rPr/>
        <w:t>Specific objectives include:</w:t>
      </w:r>
    </w:p>
    <w:p>
      <w:pPr>
        <w:pStyle w:val="Heading2"/>
        <w:rPr/>
      </w:pPr>
      <w:bookmarkStart w:id="13" w:name="build-a-unified-geospatial-platform"/>
      <w:r>
        <w:rPr>
          <w:rStyle w:val="SectionNumber"/>
        </w:rPr>
        <w:t>3.1</w:t>
      </w:r>
      <w:r>
        <w:rPr/>
        <w:tab/>
        <w:t>Build a Unified Geospatial Platform</w:t>
      </w:r>
    </w:p>
    <w:p>
      <w:pPr>
        <w:pStyle w:val="FirstParagraph"/>
        <w:rPr/>
      </w:pPr>
      <w:bookmarkStart w:id="14" w:name="build-a-unified-geospatial-platform"/>
      <w:r>
        <w:rPr/>
        <w:t>Aggregate multiple government and satellite datasets into one standardized interface.</w:t>
      </w:r>
      <w:bookmarkEnd w:id="14"/>
    </w:p>
    <w:p>
      <w:pPr>
        <w:pStyle w:val="Heading2"/>
        <w:rPr/>
      </w:pPr>
      <w:bookmarkStart w:id="15" w:name="enable-data-transparency"/>
      <w:r>
        <w:rPr>
          <w:rStyle w:val="SectionNumber"/>
        </w:rPr>
        <w:t>3.2</w:t>
      </w:r>
      <w:r>
        <w:rPr/>
        <w:tab/>
        <w:t>Enable Data Transparency</w:t>
      </w:r>
    </w:p>
    <w:p>
      <w:pPr>
        <w:pStyle w:val="FirstParagraph"/>
        <w:rPr/>
      </w:pPr>
      <w:bookmarkStart w:id="16" w:name="enable-data-transparency"/>
      <w:r>
        <w:rPr/>
        <w:t>Every value returned by the platform must include source, citation, dataset version, retrieval timestamp, and confidence level.</w:t>
      </w:r>
      <w:bookmarkEnd w:id="16"/>
    </w:p>
    <w:p>
      <w:pPr>
        <w:pStyle w:val="Heading2"/>
        <w:rPr/>
      </w:pPr>
      <w:bookmarkStart w:id="17" w:name="enable-enterprise-adoption"/>
      <w:r>
        <w:rPr>
          <w:rStyle w:val="SectionNumber"/>
        </w:rPr>
        <w:t>3.3</w:t>
      </w:r>
      <w:r>
        <w:rPr/>
        <w:tab/>
        <w:t>Enable Enterprise Adoption</w:t>
      </w:r>
    </w:p>
    <w:p>
      <w:pPr>
        <w:pStyle w:val="FirstParagraph"/>
        <w:rPr/>
      </w:pPr>
      <w:bookmarkStart w:id="18" w:name="enable-enterprise-adoption"/>
      <w:r>
        <w:rPr/>
        <w:t>Provide architecture suitable for insurance, banking, agriculture, infrastructure, renewable energy, government, and research.</w:t>
      </w:r>
      <w:bookmarkEnd w:id="18"/>
    </w:p>
    <w:p>
      <w:pPr>
        <w:pStyle w:val="Heading2"/>
        <w:rPr/>
      </w:pPr>
      <w:bookmarkStart w:id="19" w:name="create-an-extensible-national-platform"/>
      <w:r>
        <w:rPr>
          <w:rStyle w:val="SectionNumber"/>
        </w:rPr>
        <w:t>3.4</w:t>
      </w:r>
      <w:r>
        <w:rPr/>
        <w:tab/>
        <w:t>Create an Extensible National Platform</w:t>
      </w:r>
    </w:p>
    <w:p>
      <w:pPr>
        <w:pStyle w:val="FirstParagraph"/>
        <w:rPr/>
      </w:pPr>
      <w:bookmarkStart w:id="20" w:name="business-objectives"/>
      <w:bookmarkStart w:id="21" w:name="create-an-extensible-national-platform"/>
      <w:r>
        <w:rPr/>
        <w:t>Support gradual expansion to every Indian state through configuration rather than architectural redesign.</w:t>
      </w:r>
      <w:bookmarkEnd w:id="20"/>
      <w:bookmarkEnd w:id="21"/>
    </w:p>
    <w:p>
      <w:pPr>
        <w:pStyle w:val="Heading1"/>
        <w:rPr/>
      </w:pPr>
      <w:bookmarkStart w:id="22" w:name="project-goals"/>
      <w:r>
        <w:rPr>
          <w:rStyle w:val="SectionNumber"/>
        </w:rPr>
        <w:t>4</w:t>
      </w:r>
      <w:r>
        <w:rPr/>
        <w:tab/>
        <w:t>Project Goals</w:t>
      </w:r>
    </w:p>
    <w:p>
      <w:pPr>
        <w:pStyle w:val="FirstParagraph"/>
        <w:rPr/>
      </w:pPr>
      <w:r>
        <w:rPr/>
        <w:t>The project aims to deliver an enterprise-grade geospatial intelligence system capable of supporting production workloads while maintaining modularity and long-term maintainability.</w:t>
      </w:r>
    </w:p>
    <w:p>
      <w:pPr>
        <w:pStyle w:val="Heading2"/>
        <w:rPr/>
      </w:pPr>
      <w:bookmarkStart w:id="23" w:name="functional-goals"/>
      <w:r>
        <w:rPr>
          <w:rStyle w:val="SectionNumber"/>
        </w:rPr>
        <w:t>4.1</w:t>
      </w:r>
      <w:r>
        <w:rPr/>
        <w:tab/>
        <w:t>Functional Goals</w:t>
      </w:r>
    </w:p>
    <w:p>
      <w:pPr>
        <w:pStyle w:val="Compact"/>
        <w:numPr>
          <w:ilvl w:val="0"/>
          <w:numId w:val="60"/>
        </w:numPr>
        <w:rPr/>
      </w:pPr>
      <w:r>
        <w:rPr/>
        <w:t>Accurate coordinate-based intelligence</w:t>
      </w:r>
    </w:p>
    <w:p>
      <w:pPr>
        <w:pStyle w:val="Compact"/>
        <w:numPr>
          <w:ilvl w:val="0"/>
          <w:numId w:val="61"/>
        </w:numPr>
        <w:rPr/>
      </w:pPr>
      <w:r>
        <w:rPr/>
        <w:t>Deterministic data retrieval</w:t>
      </w:r>
    </w:p>
    <w:p>
      <w:pPr>
        <w:pStyle w:val="Compact"/>
        <w:numPr>
          <w:ilvl w:val="0"/>
          <w:numId w:val="62"/>
        </w:numPr>
        <w:rPr/>
      </w:pPr>
      <w:r>
        <w:rPr/>
        <w:t>Natural language interface</w:t>
      </w:r>
    </w:p>
    <w:p>
      <w:pPr>
        <w:pStyle w:val="Compact"/>
        <w:numPr>
          <w:ilvl w:val="0"/>
          <w:numId w:val="63"/>
        </w:numPr>
        <w:rPr/>
      </w:pPr>
      <w:r>
        <w:rPr/>
        <w:t>Source citations</w:t>
      </w:r>
    </w:p>
    <w:p>
      <w:pPr>
        <w:pStyle w:val="Compact"/>
        <w:numPr>
          <w:ilvl w:val="0"/>
          <w:numId w:val="64"/>
        </w:numPr>
        <w:rPr/>
      </w:pPr>
      <w:r>
        <w:rPr/>
        <w:t>Interactive visualization</w:t>
      </w:r>
    </w:p>
    <w:p>
      <w:pPr>
        <w:pStyle w:val="Compact"/>
        <w:numPr>
          <w:ilvl w:val="0"/>
          <w:numId w:val="65"/>
        </w:numPr>
        <w:rPr/>
      </w:pPr>
      <w:bookmarkStart w:id="24" w:name="functional-goals"/>
      <w:r>
        <w:rPr/>
        <w:t>AI planning pipeline</w:t>
      </w:r>
      <w:bookmarkEnd w:id="24"/>
    </w:p>
    <w:p>
      <w:pPr>
        <w:pStyle w:val="Heading2"/>
        <w:rPr/>
      </w:pPr>
      <w:bookmarkStart w:id="25" w:name="engineering-goals"/>
      <w:r>
        <w:rPr>
          <w:rStyle w:val="SectionNumber"/>
        </w:rPr>
        <w:t>4.2</w:t>
      </w:r>
      <w:r>
        <w:rPr/>
        <w:tab/>
        <w:t>Engineering Goals</w:t>
      </w:r>
    </w:p>
    <w:p>
      <w:pPr>
        <w:pStyle w:val="Compact"/>
        <w:numPr>
          <w:ilvl w:val="0"/>
          <w:numId w:val="66"/>
        </w:numPr>
        <w:rPr/>
      </w:pPr>
      <w:r>
        <w:rPr/>
        <w:t>Clean Architecture</w:t>
      </w:r>
    </w:p>
    <w:p>
      <w:pPr>
        <w:pStyle w:val="Compact"/>
        <w:numPr>
          <w:ilvl w:val="0"/>
          <w:numId w:val="67"/>
        </w:numPr>
        <w:rPr/>
      </w:pPr>
      <w:r>
        <w:rPr/>
        <w:t>SOLID Principles</w:t>
      </w:r>
    </w:p>
    <w:p>
      <w:pPr>
        <w:pStyle w:val="Compact"/>
        <w:numPr>
          <w:ilvl w:val="0"/>
          <w:numId w:val="68"/>
        </w:numPr>
        <w:rPr/>
      </w:pPr>
      <w:r>
        <w:rPr/>
        <w:t>Modular Design</w:t>
      </w:r>
    </w:p>
    <w:p>
      <w:pPr>
        <w:pStyle w:val="Compact"/>
        <w:numPr>
          <w:ilvl w:val="0"/>
          <w:numId w:val="69"/>
        </w:numPr>
        <w:rPr/>
      </w:pPr>
      <w:r>
        <w:rPr/>
        <w:t>Strong Typing</w:t>
      </w:r>
    </w:p>
    <w:p>
      <w:pPr>
        <w:pStyle w:val="Compact"/>
        <w:numPr>
          <w:ilvl w:val="0"/>
          <w:numId w:val="70"/>
        </w:numPr>
        <w:rPr/>
      </w:pPr>
      <w:r>
        <w:rPr/>
        <w:t>Testability</w:t>
      </w:r>
    </w:p>
    <w:p>
      <w:pPr>
        <w:pStyle w:val="Compact"/>
        <w:numPr>
          <w:ilvl w:val="0"/>
          <w:numId w:val="71"/>
        </w:numPr>
        <w:rPr/>
      </w:pPr>
      <w:r>
        <w:rPr/>
        <w:t>Maintainability</w:t>
      </w:r>
    </w:p>
    <w:p>
      <w:pPr>
        <w:pStyle w:val="Compact"/>
        <w:numPr>
          <w:ilvl w:val="0"/>
          <w:numId w:val="72"/>
        </w:numPr>
        <w:rPr/>
      </w:pPr>
      <w:bookmarkStart w:id="26" w:name="project-goals"/>
      <w:bookmarkStart w:id="27" w:name="engineering-goals"/>
      <w:r>
        <w:rPr/>
        <w:t>Scalability</w:t>
      </w:r>
      <w:bookmarkEnd w:id="26"/>
      <w:bookmarkEnd w:id="27"/>
    </w:p>
    <w:p>
      <w:pPr>
        <w:pStyle w:val="Heading1"/>
        <w:rPr/>
      </w:pPr>
      <w:bookmarkStart w:id="28" w:name="scope"/>
      <w:r>
        <w:rPr>
          <w:rStyle w:val="SectionNumber"/>
        </w:rPr>
        <w:t>5</w:t>
      </w:r>
      <w:r>
        <w:rPr/>
        <w:tab/>
        <w:t>Scope</w:t>
      </w:r>
    </w:p>
    <w:p>
      <w:pPr>
        <w:pStyle w:val="Heading2"/>
        <w:rPr/>
      </w:pPr>
      <w:bookmarkStart w:id="29" w:name="in-scope"/>
      <w:r>
        <w:rPr>
          <w:rStyle w:val="SectionNumber"/>
        </w:rPr>
        <w:t>5.1</w:t>
      </w:r>
      <w:r>
        <w:rPr/>
        <w:tab/>
        <w:t>In Scope</w:t>
      </w:r>
    </w:p>
    <w:p>
      <w:pPr>
        <w:pStyle w:val="FirstParagraph"/>
        <w:rPr/>
      </w:pPr>
      <w:r>
        <w:rPr/>
        <w:t>The first production release shall include the following.</w:t>
      </w:r>
    </w:p>
    <w:p>
      <w:pPr>
        <w:pStyle w:val="BodyText"/>
        <w:rPr/>
      </w:pPr>
      <w:r>
        <w:rPr>
          <w:b/>
          <w:bCs/>
        </w:rPr>
        <w:t>Geographic Coverage</w:t>
      </w:r>
      <w:r>
        <w:rPr/>
        <w:t xml:space="preserve"> — the designated pilot region (see the </w:t>
      </w:r>
      <w:r>
        <w:rPr>
          <w:i/>
          <w:iCs/>
        </w:rPr>
        <w:t>Telangana MVP</w:t>
      </w:r>
      <w:r>
        <w:rPr/>
        <w:t xml:space="preserve"> chapter).</w:t>
      </w:r>
    </w:p>
    <w:p>
      <w:pPr>
        <w:pStyle w:val="BodyText"/>
        <w:rPr/>
      </w:pPr>
      <w:r>
        <w:rPr>
          <w:b/>
          <w:bCs/>
        </w:rPr>
        <w:t>Data Layers</w:t>
      </w:r>
    </w:p>
    <w:p>
      <w:pPr>
        <w:pStyle w:val="Compact"/>
        <w:numPr>
          <w:ilvl w:val="0"/>
          <w:numId w:val="73"/>
        </w:numPr>
        <w:rPr/>
      </w:pPr>
      <w:r>
        <w:rPr/>
        <w:t>Terrain &amp; Elevation</w:t>
      </w:r>
    </w:p>
    <w:p>
      <w:pPr>
        <w:pStyle w:val="Compact"/>
        <w:numPr>
          <w:ilvl w:val="0"/>
          <w:numId w:val="74"/>
        </w:numPr>
        <w:rPr/>
      </w:pPr>
      <w:r>
        <w:rPr/>
        <w:t>Land Cover</w:t>
      </w:r>
    </w:p>
    <w:p>
      <w:pPr>
        <w:pStyle w:val="Compact"/>
        <w:numPr>
          <w:ilvl w:val="0"/>
          <w:numId w:val="75"/>
        </w:numPr>
        <w:rPr/>
      </w:pPr>
      <w:r>
        <w:rPr/>
        <w:t>Flood Risk</w:t>
      </w:r>
    </w:p>
    <w:p>
      <w:pPr>
        <w:pStyle w:val="Compact"/>
        <w:numPr>
          <w:ilvl w:val="0"/>
          <w:numId w:val="76"/>
        </w:numPr>
        <w:rPr/>
      </w:pPr>
      <w:r>
        <w:rPr/>
        <w:t>Climate</w:t>
      </w:r>
    </w:p>
    <w:p>
      <w:pPr>
        <w:pStyle w:val="Compact"/>
        <w:numPr>
          <w:ilvl w:val="0"/>
          <w:numId w:val="77"/>
        </w:numPr>
        <w:rPr/>
      </w:pPr>
      <w:r>
        <w:rPr/>
        <w:t>Wildfire Monitoring</w:t>
      </w:r>
    </w:p>
    <w:p>
      <w:pPr>
        <w:pStyle w:val="Compact"/>
        <w:numPr>
          <w:ilvl w:val="0"/>
          <w:numId w:val="78"/>
        </w:numPr>
        <w:rPr/>
      </w:pPr>
      <w:r>
        <w:rPr/>
        <w:t>Administrative Boundaries</w:t>
      </w:r>
    </w:p>
    <w:p>
      <w:pPr>
        <w:pStyle w:val="FirstParagraph"/>
        <w:rPr/>
      </w:pPr>
      <w:r>
        <w:rPr>
          <w:b/>
          <w:bCs/>
        </w:rPr>
        <w:t>Backend</w:t>
      </w:r>
    </w:p>
    <w:p>
      <w:pPr>
        <w:pStyle w:val="Compact"/>
        <w:numPr>
          <w:ilvl w:val="0"/>
          <w:numId w:val="79"/>
        </w:numPr>
        <w:rPr/>
      </w:pPr>
      <w:r>
        <w:rPr/>
        <w:t>FastAPI</w:t>
      </w:r>
    </w:p>
    <w:p>
      <w:pPr>
        <w:pStyle w:val="Compact"/>
        <w:numPr>
          <w:ilvl w:val="0"/>
          <w:numId w:val="80"/>
        </w:numPr>
        <w:rPr/>
      </w:pPr>
      <w:r>
        <w:rPr/>
        <w:t>Planner</w:t>
      </w:r>
    </w:p>
    <w:p>
      <w:pPr>
        <w:pStyle w:val="Compact"/>
        <w:numPr>
          <w:ilvl w:val="0"/>
          <w:numId w:val="81"/>
        </w:numPr>
        <w:rPr/>
      </w:pPr>
      <w:r>
        <w:rPr/>
        <w:t>Fetch Engine</w:t>
      </w:r>
    </w:p>
    <w:p>
      <w:pPr>
        <w:pStyle w:val="Compact"/>
        <w:numPr>
          <w:ilvl w:val="0"/>
          <w:numId w:val="82"/>
        </w:numPr>
        <w:rPr/>
      </w:pPr>
      <w:r>
        <w:rPr/>
        <w:t>Synthesizer</w:t>
      </w:r>
    </w:p>
    <w:p>
      <w:pPr>
        <w:pStyle w:val="Compact"/>
        <w:numPr>
          <w:ilvl w:val="0"/>
          <w:numId w:val="83"/>
        </w:numPr>
        <w:rPr/>
      </w:pPr>
      <w:r>
        <w:rPr/>
        <w:t>Citation Engine</w:t>
      </w:r>
    </w:p>
    <w:p>
      <w:pPr>
        <w:pStyle w:val="Compact"/>
        <w:numPr>
          <w:ilvl w:val="0"/>
          <w:numId w:val="84"/>
        </w:numPr>
        <w:rPr/>
      </w:pPr>
      <w:r>
        <w:rPr/>
        <w:t>Provenance Tracking</w:t>
      </w:r>
    </w:p>
    <w:p>
      <w:pPr>
        <w:pStyle w:val="Compact"/>
        <w:numPr>
          <w:ilvl w:val="0"/>
          <w:numId w:val="85"/>
        </w:numPr>
        <w:rPr/>
      </w:pPr>
      <w:r>
        <w:rPr/>
        <w:t>REST APIs</w:t>
      </w:r>
    </w:p>
    <w:p>
      <w:pPr>
        <w:pStyle w:val="FirstParagraph"/>
        <w:rPr/>
      </w:pPr>
      <w:r>
        <w:rPr>
          <w:b/>
          <w:bCs/>
        </w:rPr>
        <w:t>Frontend</w:t>
      </w:r>
    </w:p>
    <w:p>
      <w:pPr>
        <w:pStyle w:val="Compact"/>
        <w:numPr>
          <w:ilvl w:val="0"/>
          <w:numId w:val="86"/>
        </w:numPr>
        <w:rPr/>
      </w:pPr>
      <w:r>
        <w:rPr/>
        <w:t>React / Next.js</w:t>
      </w:r>
    </w:p>
    <w:p>
      <w:pPr>
        <w:pStyle w:val="Compact"/>
        <w:numPr>
          <w:ilvl w:val="0"/>
          <w:numId w:val="87"/>
        </w:numPr>
        <w:rPr/>
      </w:pPr>
      <w:r>
        <w:rPr/>
        <w:t>Tailwind CSS</w:t>
      </w:r>
    </w:p>
    <w:p>
      <w:pPr>
        <w:pStyle w:val="Compact"/>
        <w:numPr>
          <w:ilvl w:val="0"/>
          <w:numId w:val="88"/>
        </w:numPr>
        <w:rPr/>
      </w:pPr>
      <w:r>
        <w:rPr/>
        <w:t>Interactive Dashboard</w:t>
      </w:r>
    </w:p>
    <w:p>
      <w:pPr>
        <w:pStyle w:val="Compact"/>
        <w:numPr>
          <w:ilvl w:val="0"/>
          <w:numId w:val="89"/>
        </w:numPr>
        <w:rPr/>
      </w:pPr>
      <w:r>
        <w:rPr/>
        <w:t>Coordinate Input</w:t>
      </w:r>
    </w:p>
    <w:p>
      <w:pPr>
        <w:pStyle w:val="Compact"/>
        <w:numPr>
          <w:ilvl w:val="0"/>
          <w:numId w:val="90"/>
        </w:numPr>
        <w:rPr/>
      </w:pPr>
      <w:r>
        <w:rPr/>
        <w:t>Natural Language Search</w:t>
      </w:r>
    </w:p>
    <w:p>
      <w:pPr>
        <w:pStyle w:val="Compact"/>
        <w:numPr>
          <w:ilvl w:val="0"/>
          <w:numId w:val="91"/>
        </w:numPr>
        <w:rPr/>
      </w:pPr>
      <w:r>
        <w:rPr/>
        <w:t>Execution Visualizer</w:t>
      </w:r>
    </w:p>
    <w:p>
      <w:pPr>
        <w:pStyle w:val="Compact"/>
        <w:numPr>
          <w:ilvl w:val="0"/>
          <w:numId w:val="92"/>
        </w:numPr>
        <w:rPr/>
      </w:pPr>
      <w:r>
        <w:rPr/>
        <w:t>Raw JSON Viewer</w:t>
      </w:r>
    </w:p>
    <w:p>
      <w:pPr>
        <w:pStyle w:val="Compact"/>
        <w:numPr>
          <w:ilvl w:val="0"/>
          <w:numId w:val="93"/>
        </w:numPr>
        <w:rPr/>
      </w:pPr>
      <w:r>
        <w:rPr/>
        <w:t>Provenance Viewer</w:t>
      </w:r>
    </w:p>
    <w:p>
      <w:pPr>
        <w:pStyle w:val="FirstParagraph"/>
        <w:rPr/>
      </w:pPr>
      <w:r>
        <w:rPr>
          <w:b/>
          <w:bCs/>
        </w:rPr>
        <w:t>Infrastructure</w:t>
      </w:r>
    </w:p>
    <w:p>
      <w:pPr>
        <w:pStyle w:val="Compact"/>
        <w:numPr>
          <w:ilvl w:val="0"/>
          <w:numId w:val="94"/>
        </w:numPr>
        <w:rPr/>
      </w:pPr>
      <w:r>
        <w:rPr/>
        <w:t>PostgreSQL</w:t>
      </w:r>
    </w:p>
    <w:p>
      <w:pPr>
        <w:pStyle w:val="Compact"/>
        <w:numPr>
          <w:ilvl w:val="0"/>
          <w:numId w:val="95"/>
        </w:numPr>
        <w:rPr/>
      </w:pPr>
      <w:r>
        <w:rPr/>
        <w:t>PostGIS</w:t>
      </w:r>
    </w:p>
    <w:p>
      <w:pPr>
        <w:pStyle w:val="Compact"/>
        <w:numPr>
          <w:ilvl w:val="0"/>
          <w:numId w:val="96"/>
        </w:numPr>
        <w:rPr/>
      </w:pPr>
      <w:r>
        <w:rPr/>
        <w:t>Google Earth Engine</w:t>
      </w:r>
    </w:p>
    <w:p>
      <w:pPr>
        <w:pStyle w:val="Compact"/>
        <w:numPr>
          <w:ilvl w:val="0"/>
          <w:numId w:val="97"/>
        </w:numPr>
        <w:rPr/>
      </w:pPr>
      <w:r>
        <w:rPr/>
        <w:t>Docker</w:t>
      </w:r>
    </w:p>
    <w:p>
      <w:pPr>
        <w:pStyle w:val="Compact"/>
        <w:numPr>
          <w:ilvl w:val="0"/>
          <w:numId w:val="98"/>
        </w:numPr>
        <w:rPr/>
      </w:pPr>
      <w:r>
        <w:rPr/>
        <w:t>Docker Compose</w:t>
      </w:r>
    </w:p>
    <w:p>
      <w:pPr>
        <w:pStyle w:val="Compact"/>
        <w:numPr>
          <w:ilvl w:val="0"/>
          <w:numId w:val="99"/>
        </w:numPr>
        <w:rPr/>
      </w:pPr>
      <w:r>
        <w:rPr/>
        <w:t>GitHub Actions</w:t>
      </w:r>
    </w:p>
    <w:p>
      <w:pPr>
        <w:pStyle w:val="Compact"/>
        <w:numPr>
          <w:ilvl w:val="0"/>
          <w:numId w:val="100"/>
        </w:numPr>
        <w:rPr/>
      </w:pPr>
      <w:r>
        <w:rPr/>
        <w:t>Logging</w:t>
      </w:r>
    </w:p>
    <w:p>
      <w:pPr>
        <w:pStyle w:val="Compact"/>
        <w:numPr>
          <w:ilvl w:val="0"/>
          <w:numId w:val="101"/>
        </w:numPr>
        <w:rPr/>
      </w:pPr>
      <w:r>
        <w:rPr/>
        <w:t>Monitoring</w:t>
      </w:r>
    </w:p>
    <w:p>
      <w:pPr>
        <w:pStyle w:val="FirstParagraph"/>
        <w:rPr/>
      </w:pPr>
      <w:r>
        <w:rPr>
          <w:b/>
          <w:bCs/>
        </w:rPr>
        <w:t>Documentation</w:t>
      </w:r>
    </w:p>
    <w:p>
      <w:pPr>
        <w:pStyle w:val="Compact"/>
        <w:numPr>
          <w:ilvl w:val="0"/>
          <w:numId w:val="102"/>
        </w:numPr>
        <w:rPr/>
      </w:pPr>
      <w:r>
        <w:rPr/>
        <w:t>API Documentation</w:t>
      </w:r>
    </w:p>
    <w:p>
      <w:pPr>
        <w:pStyle w:val="Compact"/>
        <w:numPr>
          <w:ilvl w:val="0"/>
          <w:numId w:val="103"/>
        </w:numPr>
        <w:rPr/>
      </w:pPr>
      <w:r>
        <w:rPr/>
        <w:t>Deployment Guide</w:t>
      </w:r>
    </w:p>
    <w:p>
      <w:pPr>
        <w:pStyle w:val="Compact"/>
        <w:numPr>
          <w:ilvl w:val="0"/>
          <w:numId w:val="104"/>
        </w:numPr>
        <w:rPr/>
      </w:pPr>
      <w:r>
        <w:rPr/>
        <w:t>Architecture Guide</w:t>
      </w:r>
    </w:p>
    <w:p>
      <w:pPr>
        <w:pStyle w:val="Compact"/>
        <w:numPr>
          <w:ilvl w:val="0"/>
          <w:numId w:val="105"/>
        </w:numPr>
        <w:rPr/>
      </w:pPr>
      <w:r>
        <w:rPr/>
        <w:t>Developer Guide</w:t>
      </w:r>
    </w:p>
    <w:p>
      <w:pPr>
        <w:pStyle w:val="Compact"/>
        <w:numPr>
          <w:ilvl w:val="0"/>
          <w:numId w:val="106"/>
        </w:numPr>
        <w:rPr/>
      </w:pPr>
      <w:bookmarkStart w:id="30" w:name="in-scope"/>
      <w:r>
        <w:rPr/>
        <w:t>Dataset Documentation</w:t>
      </w:r>
      <w:bookmarkEnd w:id="30"/>
    </w:p>
    <w:p>
      <w:pPr>
        <w:pStyle w:val="Heading2"/>
        <w:rPr/>
      </w:pPr>
      <w:bookmarkStart w:id="31" w:name="out-of-scope-version-1"/>
      <w:r>
        <w:rPr>
          <w:rStyle w:val="SectionNumber"/>
        </w:rPr>
        <w:t>5.2</w:t>
      </w:r>
      <w:r>
        <w:rPr/>
        <w:tab/>
        <w:t>Out of Scope (Version 1)</w:t>
      </w:r>
    </w:p>
    <w:p>
      <w:pPr>
        <w:pStyle w:val="FirstParagraph"/>
        <w:rPr/>
      </w:pPr>
      <w:r>
        <w:rPr/>
        <w:t>The following capabilities are intentionally excluded from the initial release:</w:t>
      </w:r>
    </w:p>
    <w:p>
      <w:pPr>
        <w:pStyle w:val="Compact"/>
        <w:numPr>
          <w:ilvl w:val="0"/>
          <w:numId w:val="107"/>
        </w:numPr>
        <w:rPr/>
      </w:pPr>
      <w:r>
        <w:rPr/>
        <w:t>Nationwide coverage</w:t>
      </w:r>
    </w:p>
    <w:p>
      <w:pPr>
        <w:pStyle w:val="Compact"/>
        <w:numPr>
          <w:ilvl w:val="0"/>
          <w:numId w:val="108"/>
        </w:numPr>
        <w:rPr/>
      </w:pPr>
      <w:r>
        <w:rPr/>
        <w:t>User authentication and billing</w:t>
      </w:r>
    </w:p>
    <w:p>
      <w:pPr>
        <w:pStyle w:val="Compact"/>
        <w:numPr>
          <w:ilvl w:val="0"/>
          <w:numId w:val="109"/>
        </w:numPr>
        <w:rPr/>
      </w:pPr>
      <w:r>
        <w:rPr/>
        <w:t>Mobile applications</w:t>
      </w:r>
    </w:p>
    <w:p>
      <w:pPr>
        <w:pStyle w:val="Compact"/>
        <w:numPr>
          <w:ilvl w:val="0"/>
          <w:numId w:val="110"/>
        </w:numPr>
        <w:rPr/>
      </w:pPr>
      <w:r>
        <w:rPr/>
        <w:t>Offline desktop clients</w:t>
      </w:r>
    </w:p>
    <w:p>
      <w:pPr>
        <w:pStyle w:val="Compact"/>
        <w:numPr>
          <w:ilvl w:val="0"/>
          <w:numId w:val="111"/>
        </w:numPr>
        <w:rPr/>
      </w:pPr>
      <w:r>
        <w:rPr/>
        <w:t>Predictive ML risk scoring</w:t>
      </w:r>
    </w:p>
    <w:p>
      <w:pPr>
        <w:pStyle w:val="Compact"/>
        <w:numPr>
          <w:ilvl w:val="0"/>
          <w:numId w:val="112"/>
        </w:numPr>
        <w:rPr/>
      </w:pPr>
      <w:r>
        <w:rPr/>
        <w:t>Proprietary datasets</w:t>
      </w:r>
    </w:p>
    <w:p>
      <w:pPr>
        <w:pStyle w:val="Compact"/>
        <w:numPr>
          <w:ilvl w:val="0"/>
          <w:numId w:val="113"/>
        </w:numPr>
        <w:rPr/>
      </w:pPr>
      <w:r>
        <w:rPr/>
        <w:t>Real-time satellite ingestion</w:t>
      </w:r>
    </w:p>
    <w:p>
      <w:pPr>
        <w:pStyle w:val="Compact"/>
        <w:numPr>
          <w:ilvl w:val="0"/>
          <w:numId w:val="114"/>
        </w:numPr>
        <w:rPr/>
      </w:pPr>
      <w:r>
        <w:rPr/>
        <w:t>Multi-cloud deployment</w:t>
      </w:r>
    </w:p>
    <w:p>
      <w:pPr>
        <w:pStyle w:val="Compact"/>
        <w:numPr>
          <w:ilvl w:val="0"/>
          <w:numId w:val="115"/>
        </w:numPr>
        <w:rPr/>
      </w:pPr>
      <w:r>
        <w:rPr/>
        <w:t>Distributed microservices</w:t>
      </w:r>
    </w:p>
    <w:p>
      <w:pPr>
        <w:pStyle w:val="Compact"/>
        <w:numPr>
          <w:ilvl w:val="0"/>
          <w:numId w:val="116"/>
        </w:numPr>
        <w:rPr/>
      </w:pPr>
      <w:r>
        <w:rPr/>
        <w:t>Commercial SaaS functionality</w:t>
      </w:r>
    </w:p>
    <w:p>
      <w:pPr>
        <w:pStyle w:val="FirstParagraph"/>
        <w:rPr/>
      </w:pPr>
      <w:bookmarkStart w:id="32" w:name="scope"/>
      <w:bookmarkStart w:id="33" w:name="out-of-scope-version-1"/>
      <w:r>
        <w:rPr/>
        <w:t>These features are reserved for future versions after the pilot release reaches production stability.</w:t>
      </w:r>
      <w:bookmarkEnd w:id="32"/>
      <w:bookmarkEnd w:id="33"/>
    </w:p>
    <w:p>
      <w:pPr>
        <w:pStyle w:val="Heading1"/>
        <w:rPr/>
      </w:pPr>
      <w:bookmarkStart w:id="34" w:name="functional-requirements"/>
      <w:r>
        <w:rPr>
          <w:rStyle w:val="SectionNumber"/>
        </w:rPr>
        <w:t>6</w:t>
      </w:r>
      <w:r>
        <w:rPr/>
        <w:tab/>
        <w:t>Functional Requirements</w:t>
      </w:r>
    </w:p>
    <w:p>
      <w:pPr>
        <w:pStyle w:val="FirstParagraph"/>
        <w:rPr/>
      </w:pPr>
      <w:r>
        <w:rPr/>
        <w:t>This section defines the functional capabilities of the Prism Earth platform. These requirements describe the expected behavior of the system and the features that shall be implemented in Version 1.0. The initial release shall support the designated pilot region while maintaining an architecture capable of seamless expansion to all Indian states.</w:t>
      </w:r>
    </w:p>
    <w:p>
      <w:pPr>
        <w:pStyle w:val="Heading2"/>
        <w:rPr/>
      </w:pPr>
      <w:bookmarkStart w:id="35" w:name="user-functional-requirements"/>
      <w:r>
        <w:rPr>
          <w:rStyle w:val="SectionNumber"/>
        </w:rPr>
        <w:t>6.1</w:t>
      </w:r>
      <w:r>
        <w:rPr/>
        <w:tab/>
        <w:t>User Functional Requirements</w:t>
      </w:r>
    </w:p>
    <w:p>
      <w:pPr>
        <w:pStyle w:val="FirstParagraph"/>
        <w:rPr/>
      </w:pPr>
      <w:r>
        <w:rPr/>
        <w:t>The platform shall allow users to:</w:t>
      </w:r>
    </w:p>
    <w:p>
      <w:pPr>
        <w:pStyle w:val="Compact"/>
        <w:numPr>
          <w:ilvl w:val="0"/>
          <w:numId w:val="117"/>
        </w:numPr>
        <w:rPr/>
      </w:pPr>
      <w:r>
        <w:rPr/>
        <w:t>Search any location using latitude and longitude.</w:t>
      </w:r>
    </w:p>
    <w:p>
      <w:pPr>
        <w:pStyle w:val="Compact"/>
        <w:numPr>
          <w:ilvl w:val="0"/>
          <w:numId w:val="118"/>
        </w:numPr>
        <w:rPr/>
      </w:pPr>
      <w:r>
        <w:rPr/>
        <w:t>Ask natural language questions about environmental and geospatial conditions.</w:t>
      </w:r>
    </w:p>
    <w:p>
      <w:pPr>
        <w:pStyle w:val="Compact"/>
        <w:numPr>
          <w:ilvl w:val="0"/>
          <w:numId w:val="119"/>
        </w:numPr>
        <w:rPr/>
      </w:pPr>
      <w:r>
        <w:rPr/>
        <w:t>Retrieve deterministic geospatial information.</w:t>
      </w:r>
    </w:p>
    <w:p>
      <w:pPr>
        <w:pStyle w:val="Compact"/>
        <w:numPr>
          <w:ilvl w:val="0"/>
          <w:numId w:val="120"/>
        </w:numPr>
        <w:rPr/>
      </w:pPr>
      <w:r>
        <w:rPr/>
        <w:t>View raw geospatial values.</w:t>
      </w:r>
    </w:p>
    <w:p>
      <w:pPr>
        <w:pStyle w:val="Compact"/>
        <w:numPr>
          <w:ilvl w:val="0"/>
          <w:numId w:val="121"/>
        </w:numPr>
        <w:rPr/>
      </w:pPr>
      <w:r>
        <w:rPr/>
        <w:t>View complete provenance and citations.</w:t>
      </w:r>
    </w:p>
    <w:p>
      <w:pPr>
        <w:pStyle w:val="Compact"/>
        <w:numPr>
          <w:ilvl w:val="0"/>
          <w:numId w:val="122"/>
        </w:numPr>
        <w:rPr/>
      </w:pPr>
      <w:r>
        <w:rPr/>
        <w:t>Download structured JSON responses.</w:t>
      </w:r>
    </w:p>
    <w:p>
      <w:pPr>
        <w:pStyle w:val="Compact"/>
        <w:numPr>
          <w:ilvl w:val="0"/>
          <w:numId w:val="123"/>
        </w:numPr>
        <w:rPr/>
      </w:pPr>
      <w:bookmarkStart w:id="36" w:name="user-functional-requirements"/>
      <w:r>
        <w:rPr/>
        <w:t>Inspect execution traces of AI reasoning.</w:t>
      </w:r>
      <w:bookmarkEnd w:id="36"/>
    </w:p>
    <w:p>
      <w:pPr>
        <w:pStyle w:val="Heading2"/>
        <w:rPr/>
      </w:pPr>
      <w:bookmarkStart w:id="37" w:name="data-management-requirements"/>
      <w:r>
        <w:rPr>
          <w:rStyle w:val="SectionNumber"/>
        </w:rPr>
        <w:t>6.2</w:t>
      </w:r>
      <w:r>
        <w:rPr/>
        <w:tab/>
        <w:t>Data Management Requirements</w:t>
      </w:r>
    </w:p>
    <w:p>
      <w:pPr>
        <w:pStyle w:val="FirstParagraph"/>
        <w:rPr/>
      </w:pPr>
      <w:r>
        <w:rPr/>
        <w:t>The platform shall:</w:t>
      </w:r>
    </w:p>
    <w:p>
      <w:pPr>
        <w:pStyle w:val="Compact"/>
        <w:numPr>
          <w:ilvl w:val="0"/>
          <w:numId w:val="124"/>
        </w:numPr>
        <w:rPr/>
      </w:pPr>
      <w:r>
        <w:rPr/>
        <w:t>Retrieve environmental data from trusted government and satellite datasets.</w:t>
      </w:r>
    </w:p>
    <w:p>
      <w:pPr>
        <w:pStyle w:val="Compact"/>
        <w:numPr>
          <w:ilvl w:val="0"/>
          <w:numId w:val="125"/>
        </w:numPr>
        <w:rPr/>
      </w:pPr>
      <w:r>
        <w:rPr/>
        <w:t>Validate all incoming coordinates.</w:t>
      </w:r>
    </w:p>
    <w:p>
      <w:pPr>
        <w:pStyle w:val="Compact"/>
        <w:numPr>
          <w:ilvl w:val="0"/>
          <w:numId w:val="126"/>
        </w:numPr>
        <w:rPr/>
      </w:pPr>
      <w:r>
        <w:rPr/>
        <w:t>Normalize data into a unified schema.</w:t>
      </w:r>
    </w:p>
    <w:p>
      <w:pPr>
        <w:pStyle w:val="Compact"/>
        <w:numPr>
          <w:ilvl w:val="0"/>
          <w:numId w:val="127"/>
        </w:numPr>
        <w:rPr/>
      </w:pPr>
      <w:r>
        <w:rPr/>
        <w:t>Maintain metadata for every dataset.</w:t>
      </w:r>
    </w:p>
    <w:p>
      <w:pPr>
        <w:pStyle w:val="Compact"/>
        <w:numPr>
          <w:ilvl w:val="0"/>
          <w:numId w:val="128"/>
        </w:numPr>
        <w:rPr/>
      </w:pPr>
      <w:r>
        <w:rPr/>
        <w:t>Track dataset versions.</w:t>
      </w:r>
    </w:p>
    <w:p>
      <w:pPr>
        <w:pStyle w:val="Compact"/>
        <w:numPr>
          <w:ilvl w:val="0"/>
          <w:numId w:val="129"/>
        </w:numPr>
        <w:rPr/>
      </w:pPr>
      <w:r>
        <w:rPr/>
        <w:t>Store provenance for every retrieved value.</w:t>
      </w:r>
    </w:p>
    <w:p>
      <w:pPr>
        <w:pStyle w:val="Compact"/>
        <w:numPr>
          <w:ilvl w:val="0"/>
          <w:numId w:val="130"/>
        </w:numPr>
        <w:rPr/>
      </w:pPr>
      <w:r>
        <w:rPr/>
        <w:t>Cache static datasets where appropriate.</w:t>
      </w:r>
    </w:p>
    <w:p>
      <w:pPr>
        <w:pStyle w:val="Compact"/>
        <w:numPr>
          <w:ilvl w:val="0"/>
          <w:numId w:val="131"/>
        </w:numPr>
        <w:rPr/>
      </w:pPr>
      <w:bookmarkStart w:id="38" w:name="data-management-requirements"/>
      <w:r>
        <w:rPr/>
        <w:t>Support periodic dataset updates.</w:t>
      </w:r>
      <w:bookmarkEnd w:id="38"/>
    </w:p>
    <w:p>
      <w:pPr>
        <w:pStyle w:val="Heading2"/>
        <w:rPr/>
      </w:pPr>
      <w:bookmarkStart w:id="39" w:name="planner-requirements"/>
      <w:r>
        <w:rPr>
          <w:rStyle w:val="SectionNumber"/>
        </w:rPr>
        <w:t>6.3</w:t>
      </w:r>
      <w:r>
        <w:rPr/>
        <w:tab/>
        <w:t>Planner Requirements</w:t>
      </w:r>
    </w:p>
    <w:p>
      <w:pPr>
        <w:pStyle w:val="FirstParagraph"/>
        <w:rPr/>
      </w:pPr>
      <w:r>
        <w:rPr/>
        <w:t>The Planner component shall:</w:t>
      </w:r>
    </w:p>
    <w:p>
      <w:pPr>
        <w:pStyle w:val="Compact"/>
        <w:numPr>
          <w:ilvl w:val="0"/>
          <w:numId w:val="132"/>
        </w:numPr>
        <w:rPr/>
      </w:pPr>
      <w:r>
        <w:rPr/>
        <w:t>Accept a natural language question.</w:t>
      </w:r>
    </w:p>
    <w:p>
      <w:pPr>
        <w:pStyle w:val="Compact"/>
        <w:numPr>
          <w:ilvl w:val="0"/>
          <w:numId w:val="133"/>
        </w:numPr>
        <w:rPr/>
      </w:pPr>
      <w:r>
        <w:rPr/>
        <w:t>Read the field catalog.</w:t>
      </w:r>
    </w:p>
    <w:p>
      <w:pPr>
        <w:pStyle w:val="Compact"/>
        <w:numPr>
          <w:ilvl w:val="0"/>
          <w:numId w:val="134"/>
        </w:numPr>
        <w:rPr/>
      </w:pPr>
      <w:r>
        <w:rPr/>
        <w:t>Select only the required fields.</w:t>
      </w:r>
    </w:p>
    <w:p>
      <w:pPr>
        <w:pStyle w:val="Compact"/>
        <w:numPr>
          <w:ilvl w:val="0"/>
          <w:numId w:val="135"/>
        </w:numPr>
        <w:rPr/>
      </w:pPr>
      <w:r>
        <w:rPr/>
        <w:t>Produce structured JSON.</w:t>
      </w:r>
    </w:p>
    <w:p>
      <w:pPr>
        <w:pStyle w:val="Compact"/>
        <w:numPr>
          <w:ilvl w:val="0"/>
          <w:numId w:val="136"/>
        </w:numPr>
        <w:rPr/>
      </w:pPr>
      <w:r>
        <w:rPr/>
        <w:t>Never generate the final answer.</w:t>
      </w:r>
    </w:p>
    <w:p>
      <w:pPr>
        <w:pStyle w:val="Compact"/>
        <w:numPr>
          <w:ilvl w:val="0"/>
          <w:numId w:val="137"/>
        </w:numPr>
        <w:rPr/>
      </w:pPr>
      <w:r>
        <w:rPr/>
        <w:t>Never access external datasets directly.</w:t>
      </w:r>
    </w:p>
    <w:p>
      <w:pPr>
        <w:pStyle w:val="Compact"/>
        <w:numPr>
          <w:ilvl w:val="0"/>
          <w:numId w:val="138"/>
        </w:numPr>
        <w:rPr/>
      </w:pPr>
      <w:bookmarkStart w:id="40" w:name="planner-requirements"/>
      <w:r>
        <w:rPr/>
        <w:t>Limit field selection to predefined catalog entries.</w:t>
      </w:r>
      <w:bookmarkEnd w:id="40"/>
    </w:p>
    <w:p>
      <w:pPr>
        <w:pStyle w:val="Heading2"/>
        <w:rPr/>
      </w:pPr>
      <w:bookmarkStart w:id="41" w:name="fetch-engine-requirements"/>
      <w:r>
        <w:rPr>
          <w:rStyle w:val="SectionNumber"/>
        </w:rPr>
        <w:t>6.4</w:t>
      </w:r>
      <w:r>
        <w:rPr/>
        <w:tab/>
        <w:t>Fetch Engine Requirements</w:t>
      </w:r>
    </w:p>
    <w:p>
      <w:pPr>
        <w:pStyle w:val="FirstParagraph"/>
        <w:rPr/>
      </w:pPr>
      <w:r>
        <w:rPr/>
        <w:t>The Fetch Engine shall:</w:t>
      </w:r>
    </w:p>
    <w:p>
      <w:pPr>
        <w:pStyle w:val="Compact"/>
        <w:numPr>
          <w:ilvl w:val="0"/>
          <w:numId w:val="139"/>
        </w:numPr>
        <w:rPr/>
      </w:pPr>
      <w:r>
        <w:rPr/>
        <w:t>Retrieve requested fields in parallel.</w:t>
      </w:r>
    </w:p>
    <w:p>
      <w:pPr>
        <w:pStyle w:val="Compact"/>
        <w:numPr>
          <w:ilvl w:val="0"/>
          <w:numId w:val="140"/>
        </w:numPr>
        <w:rPr/>
      </w:pPr>
      <w:r>
        <w:rPr/>
        <w:t>Route requests to the correct connector.</w:t>
      </w:r>
    </w:p>
    <w:p>
      <w:pPr>
        <w:pStyle w:val="Compact"/>
        <w:numPr>
          <w:ilvl w:val="0"/>
          <w:numId w:val="141"/>
        </w:numPr>
        <w:rPr/>
      </w:pPr>
      <w:r>
        <w:rPr/>
        <w:t>Validate coordinates.</w:t>
      </w:r>
    </w:p>
    <w:p>
      <w:pPr>
        <w:pStyle w:val="Compact"/>
        <w:numPr>
          <w:ilvl w:val="0"/>
          <w:numId w:val="142"/>
        </w:numPr>
        <w:rPr/>
      </w:pPr>
      <w:r>
        <w:rPr/>
        <w:t>Handle connector failures independently.</w:t>
      </w:r>
    </w:p>
    <w:p>
      <w:pPr>
        <w:pStyle w:val="Compact"/>
        <w:numPr>
          <w:ilvl w:val="0"/>
          <w:numId w:val="143"/>
        </w:numPr>
        <w:rPr/>
      </w:pPr>
      <w:r>
        <w:rPr/>
        <w:t>Return deterministic responses.</w:t>
      </w:r>
    </w:p>
    <w:p>
      <w:pPr>
        <w:pStyle w:val="Compact"/>
        <w:numPr>
          <w:ilvl w:val="0"/>
          <w:numId w:val="144"/>
        </w:numPr>
        <w:rPr/>
      </w:pPr>
      <w:r>
        <w:rPr/>
        <w:t>Record provenance information.</w:t>
      </w:r>
    </w:p>
    <w:p>
      <w:pPr>
        <w:pStyle w:val="Compact"/>
        <w:numPr>
          <w:ilvl w:val="0"/>
          <w:numId w:val="145"/>
        </w:numPr>
        <w:rPr/>
      </w:pPr>
      <w:r>
        <w:rPr/>
        <w:t>Record retrieval timestamps.</w:t>
      </w:r>
    </w:p>
    <w:p>
      <w:pPr>
        <w:pStyle w:val="Compact"/>
        <w:numPr>
          <w:ilvl w:val="0"/>
          <w:numId w:val="146"/>
        </w:numPr>
        <w:rPr/>
      </w:pPr>
      <w:r>
        <w:rPr/>
        <w:t>Record dataset versions.</w:t>
      </w:r>
    </w:p>
    <w:p>
      <w:pPr>
        <w:pStyle w:val="Compact"/>
        <w:numPr>
          <w:ilvl w:val="0"/>
          <w:numId w:val="147"/>
        </w:numPr>
        <w:rPr/>
      </w:pPr>
      <w:bookmarkStart w:id="42" w:name="fetch-engine-requirements"/>
      <w:r>
        <w:rPr/>
        <w:t>Return partial failures without terminating the request.</w:t>
      </w:r>
      <w:bookmarkEnd w:id="42"/>
    </w:p>
    <w:p>
      <w:pPr>
        <w:pStyle w:val="Heading2"/>
        <w:rPr/>
      </w:pPr>
      <w:bookmarkStart w:id="43" w:name="synthesizer-requirements"/>
      <w:r>
        <w:rPr>
          <w:rStyle w:val="SectionNumber"/>
        </w:rPr>
        <w:t>6.5</w:t>
      </w:r>
      <w:r>
        <w:rPr/>
        <w:tab/>
        <w:t>Synthesizer Requirements</w:t>
      </w:r>
    </w:p>
    <w:p>
      <w:pPr>
        <w:pStyle w:val="FirstParagraph"/>
        <w:rPr/>
      </w:pPr>
      <w:r>
        <w:rPr/>
        <w:t>The Synthesizer shall:</w:t>
      </w:r>
    </w:p>
    <w:p>
      <w:pPr>
        <w:pStyle w:val="Compact"/>
        <w:numPr>
          <w:ilvl w:val="0"/>
          <w:numId w:val="148"/>
        </w:numPr>
        <w:rPr/>
      </w:pPr>
      <w:r>
        <w:rPr/>
        <w:t>Receive only fetched values.</w:t>
      </w:r>
    </w:p>
    <w:p>
      <w:pPr>
        <w:pStyle w:val="Compact"/>
        <w:numPr>
          <w:ilvl w:val="0"/>
          <w:numId w:val="149"/>
        </w:numPr>
        <w:rPr/>
      </w:pPr>
      <w:r>
        <w:rPr/>
        <w:t>Never invent missing data.</w:t>
      </w:r>
    </w:p>
    <w:p>
      <w:pPr>
        <w:pStyle w:val="Compact"/>
        <w:numPr>
          <w:ilvl w:val="0"/>
          <w:numId w:val="150"/>
        </w:numPr>
        <w:rPr/>
      </w:pPr>
      <w:r>
        <w:rPr/>
        <w:t>Generate structured responses.</w:t>
      </w:r>
    </w:p>
    <w:p>
      <w:pPr>
        <w:pStyle w:val="Compact"/>
        <w:numPr>
          <w:ilvl w:val="0"/>
          <w:numId w:val="151"/>
        </w:numPr>
        <w:rPr/>
      </w:pPr>
      <w:r>
        <w:rPr/>
        <w:t>Cite every claim.</w:t>
      </w:r>
    </w:p>
    <w:p>
      <w:pPr>
        <w:pStyle w:val="Compact"/>
        <w:numPr>
          <w:ilvl w:val="0"/>
          <w:numId w:val="152"/>
        </w:numPr>
        <w:rPr/>
      </w:pPr>
      <w:r>
        <w:rPr/>
        <w:t>Preserve confidence levels.</w:t>
      </w:r>
    </w:p>
    <w:p>
      <w:pPr>
        <w:pStyle w:val="Compact"/>
        <w:numPr>
          <w:ilvl w:val="0"/>
          <w:numId w:val="153"/>
        </w:numPr>
        <w:rPr/>
      </w:pPr>
      <w:r>
        <w:rPr/>
        <w:t>Clearly distinguish unavailable data.</w:t>
      </w:r>
    </w:p>
    <w:p>
      <w:pPr>
        <w:pStyle w:val="Compact"/>
        <w:numPr>
          <w:ilvl w:val="0"/>
          <w:numId w:val="154"/>
        </w:numPr>
        <w:rPr/>
      </w:pPr>
      <w:bookmarkStart w:id="44" w:name="synthesizer-requirements"/>
      <w:r>
        <w:rPr/>
        <w:t>Generate human-readable explanations.</w:t>
      </w:r>
      <w:bookmarkEnd w:id="44"/>
    </w:p>
    <w:p>
      <w:pPr>
        <w:pStyle w:val="Heading2"/>
        <w:rPr/>
      </w:pPr>
      <w:bookmarkStart w:id="45" w:name="provenance-requirements"/>
      <w:r>
        <w:rPr>
          <w:rStyle w:val="SectionNumber"/>
        </w:rPr>
        <w:t>6.6</w:t>
      </w:r>
      <w:r>
        <w:rPr/>
        <w:tab/>
        <w:t>Provenance Requirements</w:t>
      </w:r>
    </w:p>
    <w:p>
      <w:pPr>
        <w:pStyle w:val="FirstParagraph"/>
        <w:rPr/>
      </w:pPr>
      <w:bookmarkStart w:id="46" w:name="provenance-requirements"/>
      <w:r>
        <w:rPr/>
        <w:t>Every returned field shall include source name, source URL, dataset version, fetch timestamp, confidence level, cache expiration, and update frequency.</w:t>
      </w:r>
      <w:bookmarkEnd w:id="46"/>
    </w:p>
    <w:p>
      <w:pPr>
        <w:pStyle w:val="Heading2"/>
        <w:rPr/>
      </w:pPr>
      <w:bookmarkStart w:id="47" w:name="frontend-requirements"/>
      <w:r>
        <w:rPr>
          <w:rStyle w:val="SectionNumber"/>
        </w:rPr>
        <w:t>6.7</w:t>
      </w:r>
      <w:r>
        <w:rPr/>
        <w:tab/>
        <w:t>Frontend Requirements</w:t>
      </w:r>
    </w:p>
    <w:p>
      <w:pPr>
        <w:pStyle w:val="FirstParagraph"/>
        <w:rPr/>
      </w:pPr>
      <w:bookmarkStart w:id="48" w:name="frontend-requirements"/>
      <w:r>
        <w:rPr/>
        <w:t>The frontend shall provide a landing page, coordinate input, natural language query input, an ask button, loading indicators, result cards, a citation viewer, a provenance table, a raw JSON viewer, an execution timeline, responsive design, and dark mode support.</w:t>
      </w:r>
      <w:bookmarkEnd w:id="48"/>
    </w:p>
    <w:p>
      <w:pPr>
        <w:pStyle w:val="Heading2"/>
        <w:rPr/>
      </w:pPr>
      <w:bookmarkStart w:id="49" w:name="administrative-requirements"/>
      <w:r>
        <w:rPr>
          <w:rStyle w:val="SectionNumber"/>
        </w:rPr>
        <w:t>6.8</w:t>
      </w:r>
      <w:r>
        <w:rPr/>
        <w:tab/>
        <w:t>Administrative Requirements</w:t>
      </w:r>
    </w:p>
    <w:p>
      <w:pPr>
        <w:pStyle w:val="FirstParagraph"/>
        <w:rPr/>
      </w:pPr>
      <w:bookmarkStart w:id="50" w:name="administrative-requirements"/>
      <w:r>
        <w:rPr/>
        <w:t>Administrators shall be able to register datasets, configure connectors, update dataset versions, refresh caches, monitor system health, view logs, and manage configuration files.</w:t>
      </w:r>
      <w:bookmarkEnd w:id="50"/>
    </w:p>
    <w:p>
      <w:pPr>
        <w:pStyle w:val="Heading2"/>
        <w:rPr/>
      </w:pPr>
      <w:bookmarkStart w:id="51" w:name="expansion-requirements"/>
      <w:r>
        <w:rPr>
          <w:rStyle w:val="SectionNumber"/>
        </w:rPr>
        <w:t>6.9</w:t>
      </w:r>
      <w:r>
        <w:rPr/>
        <w:tab/>
        <w:t>Expansion Requirements</w:t>
      </w:r>
    </w:p>
    <w:p>
      <w:pPr>
        <w:pStyle w:val="FirstParagraph"/>
        <w:rPr/>
      </w:pPr>
      <w:bookmarkStart w:id="52" w:name="functional-requirements"/>
      <w:bookmarkStart w:id="53" w:name="expansion-requirements"/>
      <w:r>
        <w:rPr/>
        <w:t>The system shall support adding new states, datasets, and connectors; API versioning; multiple AI models; and multiple deployment environments. No modification to existing business logic should be required when introducing a new state.</w:t>
      </w:r>
      <w:bookmarkEnd w:id="52"/>
      <w:bookmarkEnd w:id="53"/>
    </w:p>
    <w:p>
      <w:pPr>
        <w:pStyle w:val="Heading1"/>
        <w:rPr/>
      </w:pPr>
      <w:bookmarkStart w:id="54" w:name="non-functional-requirements"/>
      <w:r>
        <w:rPr>
          <w:rStyle w:val="SectionNumber"/>
        </w:rPr>
        <w:t>7</w:t>
      </w:r>
      <w:r>
        <w:rPr/>
        <w:tab/>
        <w:t>Non-Functional Requirements</w:t>
      </w:r>
    </w:p>
    <w:p>
      <w:pPr>
        <w:pStyle w:val="FirstParagraph"/>
        <w:rPr/>
      </w:pPr>
      <w:r>
        <w:rPr/>
        <w:t>Non-functional requirements define the quality attributes of the platform. These requirements ensure the system is production-ready, scalable, secure, maintainable, and reliable.</w:t>
      </w:r>
    </w:p>
    <w:p>
      <w:pPr>
        <w:pStyle w:val="Heading2"/>
        <w:rPr/>
      </w:pPr>
      <w:bookmarkStart w:id="55" w:name="performance"/>
      <w:r>
        <w:rPr>
          <w:rStyle w:val="SectionNumber"/>
        </w:rPr>
        <w:t>7.1</w:t>
      </w:r>
      <w:r>
        <w:rPr/>
        <w:tab/>
        <w:t>Performance</w:t>
      </w:r>
    </w:p>
    <w:p>
      <w:pPr>
        <w:pStyle w:val="FirstParagraph"/>
        <w:rPr/>
      </w:pPr>
      <w:bookmarkStart w:id="56" w:name="performance"/>
      <w:r>
        <w:rPr/>
        <w:t>The platform shall respond to API requests within acceptable latency, execute connector requests in parallel, support asynchronous processing, cache frequently accessed datasets, minimize unnecessary network calls, and efficiently process raster and vector data.</w:t>
      </w:r>
      <w:bookmarkEnd w:id="56"/>
    </w:p>
    <w:p>
      <w:pPr>
        <w:pStyle w:val="Heading2"/>
        <w:rPr/>
      </w:pPr>
      <w:bookmarkStart w:id="57" w:name="scalability"/>
      <w:r>
        <w:rPr>
          <w:rStyle w:val="SectionNumber"/>
        </w:rPr>
        <w:t>7.2</w:t>
      </w:r>
      <w:r>
        <w:rPr/>
        <w:tab/>
        <w:t>Scalability</w:t>
      </w:r>
    </w:p>
    <w:p>
      <w:pPr>
        <w:pStyle w:val="FirstParagraph"/>
        <w:rPr/>
      </w:pPr>
      <w:bookmarkStart w:id="58" w:name="scalability"/>
      <w:r>
        <w:rPr/>
        <w:t>The architecture shall support expansion to all Indian states, addition of new datasets, horizontal scaling, load-balanced deployments, stateless backend services, and cloud-native deployment.</w:t>
      </w:r>
      <w:bookmarkEnd w:id="58"/>
    </w:p>
    <w:p>
      <w:pPr>
        <w:pStyle w:val="Heading2"/>
        <w:rPr/>
      </w:pPr>
      <w:bookmarkStart w:id="59" w:name="availability"/>
      <w:r>
        <w:rPr>
          <w:rStyle w:val="SectionNumber"/>
        </w:rPr>
        <w:t>7.3</w:t>
      </w:r>
      <w:r>
        <w:rPr/>
        <w:tab/>
        <w:t>Availability</w:t>
      </w:r>
    </w:p>
    <w:p>
      <w:pPr>
        <w:pStyle w:val="FirstParagraph"/>
        <w:rPr/>
      </w:pPr>
      <w:bookmarkStart w:id="60" w:name="availability"/>
      <w:r>
        <w:rPr/>
        <w:t>The platform shall provide health endpoints, readiness probes, graceful shutdown, automatic recovery, fault isolation, and partial request completion.</w:t>
      </w:r>
      <w:bookmarkEnd w:id="60"/>
    </w:p>
    <w:p>
      <w:pPr>
        <w:pStyle w:val="Heading2"/>
        <w:rPr/>
      </w:pPr>
      <w:bookmarkStart w:id="61" w:name="reliability"/>
      <w:r>
        <w:rPr>
          <w:rStyle w:val="SectionNumber"/>
        </w:rPr>
        <w:t>7.4</w:t>
      </w:r>
      <w:r>
        <w:rPr/>
        <w:tab/>
        <w:t>Reliability</w:t>
      </w:r>
    </w:p>
    <w:p>
      <w:pPr>
        <w:pStyle w:val="FirstParagraph"/>
        <w:rPr/>
      </w:pPr>
      <w:bookmarkStart w:id="62" w:name="reliability"/>
      <w:r>
        <w:rPr/>
        <w:t>The system shall never silently discard failures, shall retry transient failures where appropriate, shall preserve deterministic behavior, shall log all exceptions, and shall maintain data integrity.</w:t>
      </w:r>
      <w:bookmarkEnd w:id="62"/>
    </w:p>
    <w:p>
      <w:pPr>
        <w:pStyle w:val="Heading2"/>
        <w:rPr/>
      </w:pPr>
      <w:bookmarkStart w:id="63" w:name="maintainability"/>
      <w:r>
        <w:rPr>
          <w:rStyle w:val="SectionNumber"/>
        </w:rPr>
        <w:t>7.5</w:t>
      </w:r>
      <w:r>
        <w:rPr/>
        <w:tab/>
        <w:t>Maintainability</w:t>
      </w:r>
    </w:p>
    <w:p>
      <w:pPr>
        <w:pStyle w:val="FirstParagraph"/>
        <w:rPr/>
      </w:pPr>
      <w:bookmarkStart w:id="64" w:name="maintainability"/>
      <w:r>
        <w:rPr/>
        <w:t>The codebase shall follow Clean Architecture, use SOLID principles, maintain modular design, support dependency injection, contain comprehensive documentation, and maintain high unit test coverage.</w:t>
      </w:r>
      <w:bookmarkEnd w:id="64"/>
    </w:p>
    <w:p>
      <w:pPr>
        <w:pStyle w:val="Heading2"/>
        <w:rPr/>
      </w:pPr>
      <w:bookmarkStart w:id="65" w:name="security"/>
      <w:r>
        <w:rPr>
          <w:rStyle w:val="SectionNumber"/>
        </w:rPr>
        <w:t>7.6</w:t>
      </w:r>
      <w:r>
        <w:rPr/>
        <w:tab/>
        <w:t>Security</w:t>
      </w:r>
    </w:p>
    <w:p>
      <w:pPr>
        <w:pStyle w:val="FirstParagraph"/>
        <w:rPr/>
      </w:pPr>
      <w:bookmarkStart w:id="66" w:name="security"/>
      <w:r>
        <w:rPr/>
        <w:t>The system shall implement HTTPS communication, environment-based secrets, input validation, request sanitization, rate limiting, an authentication-ready architecture, role-based authorization support, and secure configuration management.</w:t>
      </w:r>
      <w:bookmarkEnd w:id="66"/>
    </w:p>
    <w:p>
      <w:pPr>
        <w:pStyle w:val="Heading2"/>
        <w:rPr/>
      </w:pPr>
      <w:bookmarkStart w:id="67" w:name="observability"/>
      <w:r>
        <w:rPr>
          <w:rStyle w:val="SectionNumber"/>
        </w:rPr>
        <w:t>7.7</w:t>
      </w:r>
      <w:r>
        <w:rPr/>
        <w:tab/>
        <w:t>Observability</w:t>
      </w:r>
    </w:p>
    <w:p>
      <w:pPr>
        <w:pStyle w:val="FirstParagraph"/>
        <w:rPr/>
      </w:pPr>
      <w:bookmarkStart w:id="68" w:name="observability"/>
      <w:r>
        <w:rPr/>
        <w:t>The platform shall include structured logging, metrics, distributed tracing, error reporting, performance monitoring, and dataset health monitoring.</w:t>
      </w:r>
      <w:bookmarkEnd w:id="68"/>
    </w:p>
    <w:p>
      <w:pPr>
        <w:pStyle w:val="Heading2"/>
        <w:rPr/>
      </w:pPr>
      <w:bookmarkStart w:id="69" w:name="portability"/>
      <w:r>
        <w:rPr>
          <w:rStyle w:val="SectionNumber"/>
        </w:rPr>
        <w:t>7.8</w:t>
      </w:r>
      <w:r>
        <w:rPr/>
        <w:tab/>
        <w:t>Portability</w:t>
      </w:r>
    </w:p>
    <w:p>
      <w:pPr>
        <w:pStyle w:val="FirstParagraph"/>
        <w:rPr/>
      </w:pPr>
      <w:bookmarkStart w:id="70" w:name="portability"/>
      <w:r>
        <w:rPr/>
        <w:t>The platform shall run consistently using Docker, Docker Compose, Kubernetes (future), Linux, and cloud platforms.</w:t>
      </w:r>
      <w:bookmarkEnd w:id="70"/>
    </w:p>
    <w:p>
      <w:pPr>
        <w:pStyle w:val="Heading2"/>
        <w:rPr/>
      </w:pPr>
      <w:bookmarkStart w:id="71" w:name="extensibility"/>
      <w:r>
        <w:rPr>
          <w:rStyle w:val="SectionNumber"/>
        </w:rPr>
        <w:t>7.9</w:t>
      </w:r>
      <w:r>
        <w:rPr/>
        <w:tab/>
        <w:t>Extensibility</w:t>
      </w:r>
    </w:p>
    <w:p>
      <w:pPr>
        <w:pStyle w:val="FirstParagraph"/>
        <w:rPr/>
      </w:pPr>
      <w:bookmarkStart w:id="72" w:name="extensibility"/>
      <w:r>
        <w:rPr/>
        <w:t>The system shall allow new connectors, datasets, AI models, frontend modules, and API versions without requiring architectural redesign.</w:t>
      </w:r>
      <w:bookmarkEnd w:id="72"/>
    </w:p>
    <w:p>
      <w:pPr>
        <w:pStyle w:val="Heading2"/>
        <w:rPr/>
      </w:pPr>
      <w:bookmarkStart w:id="73" w:name="cross-cutting-engineering-design-goals"/>
      <w:r>
        <w:rPr>
          <w:rStyle w:val="SectionNumber"/>
        </w:rPr>
        <w:t>7.10</w:t>
      </w:r>
      <w:r>
        <w:rPr/>
        <w:tab/>
        <w:t>Cross-Cutting Engineering Design Goals</w:t>
      </w:r>
    </w:p>
    <w:p>
      <w:pPr>
        <w:pStyle w:val="FirstParagraph"/>
        <w:rPr/>
      </w:pPr>
      <w:r>
        <w:rPr/>
        <w:t>The following engineering design goals are global and apply uniformly to every subsystem of the platform — Backend, Frontend, APIs, Planner, Fetch Engine, Citation Engine, Provenance System, Dataset Connectors, Earth Engine integration, spatial data layer, caching, security, and deployment. They consolidate the per-component objectives that were previously restated at the end of each technical chapter.</w:t>
      </w:r>
    </w:p>
    <w:p>
      <w:pPr>
        <w:pStyle w:val="Compact"/>
        <w:numPr>
          <w:ilvl w:val="0"/>
          <w:numId w:val="155"/>
        </w:numPr>
        <w:rPr/>
      </w:pPr>
      <w:r>
        <w:rPr>
          <w:b/>
          <w:bCs/>
        </w:rPr>
        <w:t>Deterministic execution</w:t>
      </w:r>
      <w:r>
        <w:rPr/>
        <w:t xml:space="preserve"> — identical inputs and dataset versions always produce identical outputs; the system never estimates, interpolates, or fabricates values.</w:t>
      </w:r>
    </w:p>
    <w:p>
      <w:pPr>
        <w:pStyle w:val="Compact"/>
        <w:numPr>
          <w:ilvl w:val="0"/>
          <w:numId w:val="156"/>
        </w:numPr>
        <w:rPr/>
      </w:pPr>
      <w:r>
        <w:rPr>
          <w:b/>
          <w:bCs/>
        </w:rPr>
        <w:t>Metadata-driven operation</w:t>
      </w:r>
      <w:r>
        <w:rPr/>
        <w:t xml:space="preserve"> — every component reasons over the active metadata catalog as the single source of truth; no field, dataset, connector, or preset is hardcoded.</w:t>
      </w:r>
    </w:p>
    <w:p>
      <w:pPr>
        <w:pStyle w:val="Compact"/>
        <w:numPr>
          <w:ilvl w:val="0"/>
          <w:numId w:val="157"/>
        </w:numPr>
        <w:rPr/>
      </w:pPr>
      <w:r>
        <w:rPr>
          <w:b/>
          <w:bCs/>
        </w:rPr>
        <w:t>Complete provenance and auditability</w:t>
      </w:r>
      <w:r>
        <w:rPr/>
        <w:t xml:space="preserve"> — every returned value carries dataset, source URL, version, timestamp, and confidence, making all results traceable and reproducible.</w:t>
      </w:r>
    </w:p>
    <w:p>
      <w:pPr>
        <w:pStyle w:val="Compact"/>
        <w:numPr>
          <w:ilvl w:val="0"/>
          <w:numId w:val="158"/>
        </w:numPr>
        <w:rPr/>
      </w:pPr>
      <w:r>
        <w:rPr>
          <w:b/>
          <w:bCs/>
        </w:rPr>
        <w:t>Zero fabrication / anti-hallucination</w:t>
      </w:r>
      <w:r>
        <w:rPr/>
        <w:t xml:space="preserve"> — no component invents data, citations, datasets, or capabilities; unavailable information is reported explicitly.</w:t>
      </w:r>
    </w:p>
    <w:p>
      <w:pPr>
        <w:pStyle w:val="Compact"/>
        <w:numPr>
          <w:ilvl w:val="0"/>
          <w:numId w:val="159"/>
        </w:numPr>
        <w:rPr/>
      </w:pPr>
      <w:r>
        <w:rPr>
          <w:b/>
          <w:bCs/>
        </w:rPr>
        <w:t>Modular, configuration-driven architecture</w:t>
      </w:r>
      <w:r>
        <w:rPr/>
        <w:t xml:space="preserve"> — datasets, connectors, states, and policies are isolated behind common interfaces and external configuration.</w:t>
      </w:r>
    </w:p>
    <w:p>
      <w:pPr>
        <w:pStyle w:val="Compact"/>
        <w:numPr>
          <w:ilvl w:val="0"/>
          <w:numId w:val="160"/>
        </w:numPr>
        <w:rPr/>
      </w:pPr>
      <w:r>
        <w:rPr>
          <w:b/>
          <w:bCs/>
        </w:rPr>
        <w:t>Strong typing and testability</w:t>
      </w:r>
      <w:r>
        <w:rPr/>
        <w:t xml:space="preserve"> — strict typing, dependency injection, and high automated test coverage across backend and frontend.</w:t>
      </w:r>
    </w:p>
    <w:p>
      <w:pPr>
        <w:pStyle w:val="Compact"/>
        <w:numPr>
          <w:ilvl w:val="0"/>
          <w:numId w:val="161"/>
        </w:numPr>
        <w:rPr/>
      </w:pPr>
      <w:r>
        <w:rPr>
          <w:b/>
          <w:bCs/>
        </w:rPr>
        <w:t>Observability</w:t>
      </w:r>
      <w:r>
        <w:rPr/>
        <w:t xml:space="preserve"> — structured logging, metrics, and distributed tracing with correlation IDs across all services.</w:t>
      </w:r>
    </w:p>
    <w:p>
      <w:pPr>
        <w:pStyle w:val="Compact"/>
        <w:numPr>
          <w:ilvl w:val="0"/>
          <w:numId w:val="162"/>
        </w:numPr>
        <w:rPr/>
      </w:pPr>
      <w:r>
        <w:rPr>
          <w:b/>
          <w:bCs/>
        </w:rPr>
        <w:t>Production-ready reliability and performance</w:t>
      </w:r>
      <w:r>
        <w:rPr/>
        <w:t xml:space="preserve"> — graceful partial-failure handling, asynchronous parallel execution, and caching aligned to dataset TTLs.</w:t>
      </w:r>
    </w:p>
    <w:p>
      <w:pPr>
        <w:pStyle w:val="Compact"/>
        <w:numPr>
          <w:ilvl w:val="0"/>
          <w:numId w:val="163"/>
        </w:numPr>
        <w:rPr/>
      </w:pPr>
      <w:r>
        <w:rPr>
          <w:b/>
          <w:bCs/>
        </w:rPr>
        <w:t>Enterprise security</w:t>
      </w:r>
      <w:r>
        <w:rPr/>
        <w:t xml:space="preserve"> — input validation, secrets management, encrypted transport, and an authentication-ready gateway.</w:t>
      </w:r>
    </w:p>
    <w:p>
      <w:pPr>
        <w:pStyle w:val="Compact"/>
        <w:numPr>
          <w:ilvl w:val="0"/>
          <w:numId w:val="164"/>
        </w:numPr>
        <w:rPr/>
      </w:pPr>
      <w:r>
        <w:rPr>
          <w:b/>
          <w:bCs/>
        </w:rPr>
        <w:t>Future-proof scalability</w:t>
      </w:r>
      <w:r>
        <w:rPr/>
        <w:t xml:space="preserve"> — seamless onboarding of new states and datasets through configuration alone, with no changes to business logic or API contracts.</w:t>
      </w:r>
      <w:bookmarkEnd w:id="54"/>
      <w:bookmarkEnd w:id="73"/>
    </w:p>
    <w:p>
      <w:pPr>
        <w:pStyle w:val="Heading1"/>
        <w:rPr/>
      </w:pPr>
      <w:bookmarkStart w:id="74" w:name="system-architecture"/>
      <w:r>
        <w:rPr>
          <w:rStyle w:val="SectionNumber"/>
        </w:rPr>
        <w:t>8</w:t>
      </w:r>
      <w:r>
        <w:rPr/>
        <w:tab/>
        <w:t>System Architecture</w:t>
      </w:r>
    </w:p>
    <w:p>
      <w:pPr>
        <w:pStyle w:val="FirstParagraph"/>
        <w:rPr/>
      </w:pPr>
      <w:r>
        <w:rPr/>
        <w:t>Prism Earth follows a modular, layered architecture based on the principles of Clean Architecture and Domain-Driven Design. Each layer has clearly defined responsibilities and communicates only through well-defined interfaces. The architecture is designed to support production deployment, maintainability, scalability, and future expansion to all Indian states.</w:t>
      </w:r>
    </w:p>
    <w:p>
      <w:pPr>
        <w:pStyle w:val="Heading2"/>
        <w:rPr/>
      </w:pPr>
      <w:bookmarkStart w:id="75" w:name="high-level-architecture"/>
      <w:r>
        <w:rPr>
          <w:rStyle w:val="SectionNumber"/>
        </w:rPr>
        <w:t>8.1</w:t>
      </w:r>
      <w:r>
        <w:rPr/>
        <w:tab/>
        <w:t>High-Level Architecture</w:t>
      </w:r>
    </w:p>
    <w:p>
      <w:pPr>
        <w:pStyle w:val="SourceCode"/>
        <w:rPr/>
      </w:pPr>
      <w:r>
        <w:rPr>
          <w:rStyle w:val="VerbatimChar"/>
        </w:rPr>
        <w:t xml:space="preserve">                          </w:t>
      </w:r>
      <w:r>
        <w:rPr>
          <w:rStyle w:val="VerbatimChar"/>
        </w:rPr>
        <w:t>User</w:t>
      </w:r>
      <w:r>
        <w:rPr/>
        <w:br/>
      </w:r>
      <w:r>
        <w:rPr>
          <w:rStyle w:val="VerbatimChar"/>
        </w:rPr>
        <w:t xml:space="preserve">                            │</w:t>
      </w:r>
      <w:r>
        <w:rPr/>
        <w:br/>
      </w:r>
      <w:r>
        <w:rPr>
          <w:rStyle w:val="VerbatimChar"/>
        </w:rPr>
        <w:t xml:space="preserve">                            ▼</w:t>
      </w:r>
      <w:r>
        <w:rPr/>
        <w:br/>
      </w:r>
      <w:r>
        <w:rPr>
          <w:rStyle w:val="VerbatimChar"/>
        </w:rPr>
        <w:t xml:space="preserve">                 React / Next.js Frontend</w:t>
      </w:r>
      <w:r>
        <w:rPr/>
        <w:br/>
      </w:r>
      <w:r>
        <w:rPr>
          <w:rStyle w:val="VerbatimChar"/>
        </w:rPr>
        <w:t xml:space="preserve">                            │</w:t>
      </w:r>
      <w:r>
        <w:rPr/>
        <w:br/>
      </w:r>
      <w:r>
        <w:rPr>
          <w:rStyle w:val="VerbatimChar"/>
        </w:rPr>
        <w:t xml:space="preserve">                            ▼</w:t>
      </w:r>
      <w:r>
        <w:rPr/>
        <w:br/>
      </w:r>
      <w:r>
        <w:rPr>
          <w:rStyle w:val="VerbatimChar"/>
        </w:rPr>
        <w:t xml:space="preserve">                   API Gateway (FastAPI)</w:t>
      </w:r>
      <w:r>
        <w:rPr/>
        <w:br/>
      </w:r>
      <w:r>
        <w:rPr>
          <w:rStyle w:val="VerbatimChar"/>
        </w:rPr>
        <w:t xml:space="preserve">                            │</w:t>
      </w:r>
      <w:r>
        <w:rPr/>
        <w:br/>
      </w:r>
      <w:r>
        <w:rPr>
          <w:rStyle w:val="VerbatimChar"/>
        </w:rPr>
        <w:t xml:space="preserve">                            ▼</w:t>
      </w:r>
      <w:r>
        <w:rPr/>
        <w:br/>
      </w:r>
      <w:r>
        <w:rPr>
          <w:rStyle w:val="VerbatimChar"/>
        </w:rPr>
        <w:t xml:space="preserve">                     Planner Service</w:t>
      </w:r>
      <w:r>
        <w:rPr/>
        <w:br/>
      </w:r>
      <w:r>
        <w:rPr>
          <w:rStyle w:val="VerbatimChar"/>
        </w:rPr>
        <w:t xml:space="preserve">                            │</w:t>
      </w:r>
      <w:r>
        <w:rPr/>
        <w:br/>
      </w:r>
      <w:r>
        <w:rPr>
          <w:rStyle w:val="VerbatimChar"/>
        </w:rPr>
        <w:t xml:space="preserve">                            ▼</w:t>
      </w:r>
      <w:r>
        <w:rPr/>
        <w:br/>
      </w:r>
      <w:r>
        <w:rPr>
          <w:rStyle w:val="VerbatimChar"/>
        </w:rPr>
        <w:t xml:space="preserve">                   Fetch Orchestrator</w:t>
      </w:r>
      <w:r>
        <w:rPr/>
        <w:br/>
      </w:r>
      <w:r>
        <w:rPr>
          <w:rStyle w:val="VerbatimChar"/>
        </w:rPr>
        <w:t xml:space="preserve">                            │</w:t>
      </w:r>
      <w:r>
        <w:rPr/>
        <w:br/>
      </w:r>
      <w:r>
        <w:rPr>
          <w:rStyle w:val="VerbatimChar"/>
        </w:rPr>
        <w:t xml:space="preserve">                     Connector Layer</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Terrain        Flood        Climate</w:t>
      </w:r>
      <w:r>
        <w:rPr/>
        <w:br/>
      </w:r>
      <w:r>
        <w:rPr>
          <w:rStyle w:val="VerbatimChar"/>
        </w:rPr>
        <w:t xml:space="preserve">              └─────────────┼─────────────┘</w:t>
      </w:r>
      <w:r>
        <w:rPr/>
        <w:br/>
      </w:r>
      <w:r>
        <w:rPr>
          <w:rStyle w:val="VerbatimChar"/>
        </w:rPr>
        <w:t xml:space="preserve">                            ▼</w:t>
      </w:r>
      <w:r>
        <w:rPr/>
        <w:br/>
      </w:r>
      <w:r>
        <w:rPr>
          <w:rStyle w:val="VerbatimChar"/>
        </w:rPr>
        <w:t xml:space="preserve">              Google Earth Engine · PostGIS · Government Datasets</w:t>
      </w:r>
      <w:r>
        <w:rPr/>
        <w:br/>
      </w:r>
      <w:r>
        <w:rPr>
          <w:rStyle w:val="VerbatimChar"/>
        </w:rPr>
        <w:t xml:space="preserve">                            │</w:t>
      </w:r>
      <w:r>
        <w:rPr/>
        <w:br/>
      </w:r>
      <w:r>
        <w:rPr>
          <w:rStyle w:val="VerbatimChar"/>
        </w:rPr>
        <w:t xml:space="preserve">                            ▼</w:t>
      </w:r>
      <w:r>
        <w:rPr/>
        <w:br/>
      </w:r>
      <w:r>
        <w:rPr>
          <w:rStyle w:val="VerbatimChar"/>
        </w:rPr>
        <w:t xml:space="preserve">                      Citation Engine</w:t>
      </w:r>
      <w:r>
        <w:rPr/>
        <w:br/>
      </w:r>
      <w:r>
        <w:rPr>
          <w:rStyle w:val="VerbatimChar"/>
        </w:rPr>
        <w:t xml:space="preserve">                            │</w:t>
      </w:r>
      <w:r>
        <w:rPr/>
        <w:br/>
      </w:r>
      <w:r>
        <w:rPr>
          <w:rStyle w:val="VerbatimChar"/>
        </w:rPr>
        <w:t xml:space="preserve">                            ▼</w:t>
      </w:r>
      <w:r>
        <w:rPr/>
        <w:br/>
      </w:r>
      <w:r>
        <w:rPr>
          <w:rStyle w:val="VerbatimChar"/>
        </w:rPr>
        <w:t xml:space="preserve">                       Synthesizer</w:t>
      </w:r>
      <w:r>
        <w:rPr/>
        <w:br/>
      </w:r>
      <w:r>
        <w:rPr>
          <w:rStyle w:val="VerbatimChar"/>
        </w:rPr>
        <w:t xml:space="preserve">                            │</w:t>
      </w:r>
      <w:r>
        <w:rPr/>
        <w:br/>
      </w:r>
      <w:r>
        <w:rPr>
          <w:rStyle w:val="VerbatimChar"/>
        </w:rPr>
        <w:t xml:space="preserve">                            ▼</w:t>
      </w:r>
      <w:r>
        <w:rPr/>
        <w:br/>
      </w:r>
      <w:r>
        <w:rPr>
          <w:rStyle w:val="VerbatimChar"/>
        </w:rPr>
        <w:t xml:space="preserve">                      API Response</w:t>
      </w:r>
    </w:p>
    <w:p>
      <w:pPr>
        <w:pStyle w:val="FirstParagraph"/>
        <w:rPr/>
      </w:pPr>
      <w:bookmarkStart w:id="76" w:name="high-level-architecture"/>
      <w:r>
        <w:rPr>
          <w:i/>
          <w:iCs/>
        </w:rPr>
        <w:t>Figure 1. Prism Earth high-level system architecture. This is the single canonical architecture diagram for the platform; subsystem chapters describe their internal behavior in prose rather than repeating per-component flow diagrams.</w:t>
      </w:r>
      <w:bookmarkEnd w:id="76"/>
    </w:p>
    <w:p>
      <w:pPr>
        <w:pStyle w:val="Heading2"/>
        <w:rPr/>
      </w:pPr>
      <w:bookmarkStart w:id="77" w:name="architectural-layers"/>
      <w:r>
        <w:rPr>
          <w:rStyle w:val="SectionNumber"/>
        </w:rPr>
        <w:t>8.2</w:t>
      </w:r>
      <w:r>
        <w:rPr/>
        <w:tab/>
        <w:t>Architectural Layers</w:t>
      </w:r>
    </w:p>
    <w:p>
      <w:pPr>
        <w:pStyle w:val="FirstParagraph"/>
        <w:rPr/>
      </w:pPr>
      <w:r>
        <w:rPr>
          <w:b/>
          <w:bCs/>
        </w:rPr>
        <w:t>Presentation Layer</w:t>
      </w:r>
      <w:r>
        <w:rPr/>
        <w:t xml:space="preserve"> — user interface, state management, API integration, and visualization.</w:t>
      </w:r>
    </w:p>
    <w:p>
      <w:pPr>
        <w:pStyle w:val="BodyText"/>
        <w:rPr/>
      </w:pPr>
      <w:r>
        <w:rPr>
          <w:b/>
          <w:bCs/>
        </w:rPr>
        <w:t>API Layer</w:t>
      </w:r>
      <w:r>
        <w:rPr/>
        <w:t xml:space="preserve"> — routing, validation, authentication, request lifecycle, and response formatting.</w:t>
      </w:r>
    </w:p>
    <w:p>
      <w:pPr>
        <w:pStyle w:val="BodyText"/>
        <w:rPr/>
      </w:pPr>
      <w:r>
        <w:rPr>
          <w:b/>
          <w:bCs/>
        </w:rPr>
        <w:t>Planner Layer</w:t>
      </w:r>
      <w:r>
        <w:rPr/>
        <w:t xml:space="preserve"> — understanding user intent, selecting required fields, and producing structured execution plans.</w:t>
      </w:r>
    </w:p>
    <w:p>
      <w:pPr>
        <w:pStyle w:val="BodyText"/>
        <w:rPr/>
      </w:pPr>
      <w:r>
        <w:rPr>
          <w:b/>
          <w:bCs/>
        </w:rPr>
        <w:t>Fetch Layer</w:t>
      </w:r>
      <w:r>
        <w:rPr/>
        <w:t xml:space="preserve"> — connector orchestration, parallel execution, data retrieval, and provenance tracking.</w:t>
      </w:r>
    </w:p>
    <w:p>
      <w:pPr>
        <w:pStyle w:val="BodyText"/>
        <w:rPr/>
      </w:pPr>
      <w:r>
        <w:rPr>
          <w:b/>
          <w:bCs/>
        </w:rPr>
        <w:t>Connector Layer</w:t>
      </w:r>
      <w:r>
        <w:rPr/>
        <w:t xml:space="preserve"> — external datasets, Google Earth Engine, PostGIS, and government APIs. Each connector is isolated and independently replaceable.</w:t>
      </w:r>
    </w:p>
    <w:p>
      <w:pPr>
        <w:pStyle w:val="BodyText"/>
        <w:rPr/>
      </w:pPr>
      <w:r>
        <w:rPr>
          <w:b/>
          <w:bCs/>
        </w:rPr>
        <w:t>Citation Layer</w:t>
      </w:r>
      <w:r>
        <w:rPr/>
        <w:t xml:space="preserve"> — source tracking, citation generation, confidence aggregation, and dataset metadata.</w:t>
      </w:r>
    </w:p>
    <w:p>
      <w:pPr>
        <w:pStyle w:val="BodyText"/>
        <w:rPr/>
      </w:pPr>
      <w:r>
        <w:rPr>
          <w:b/>
          <w:bCs/>
        </w:rPr>
        <w:t>Synthesizer Layer</w:t>
      </w:r>
      <w:r>
        <w:rPr/>
        <w:t xml:space="preserve"> — answer generation, human-readable formatting, inline citations, and summary generation.</w:t>
      </w:r>
    </w:p>
    <w:p>
      <w:pPr>
        <w:pStyle w:val="BodyText"/>
        <w:rPr/>
      </w:pPr>
      <w:r>
        <w:rPr>
          <w:b/>
          <w:bCs/>
        </w:rPr>
        <w:t>Persistence Layer</w:t>
      </w:r>
      <w:r>
        <w:rPr/>
        <w:t xml:space="preserve"> — metadata, cached datasets, logs, configuration, and spatial indexes.</w:t>
      </w:r>
      <w:bookmarkEnd w:id="74"/>
      <w:bookmarkEnd w:id="77"/>
    </w:p>
    <w:p>
      <w:pPr>
        <w:pStyle w:val="Heading1"/>
        <w:rPr/>
      </w:pPr>
      <w:bookmarkStart w:id="78" w:name="technology-stack"/>
      <w:r>
        <w:rPr>
          <w:rStyle w:val="SectionNumber"/>
        </w:rPr>
        <w:t>9</w:t>
      </w:r>
      <w:r>
        <w:rPr/>
        <w:tab/>
        <w:t>Technology Stack</w:t>
      </w:r>
    </w:p>
    <w:p>
      <w:pPr>
        <w:pStyle w:val="FirstParagraph"/>
        <w:rPr/>
      </w:pPr>
      <w:r>
        <w:rPr>
          <w:b/>
          <w:bCs/>
        </w:rPr>
        <w:t>Frontend</w:t>
      </w:r>
      <w:r>
        <w:rPr/>
        <w:t xml:space="preserve"> — Next.js, React, TypeScript, Tailwind CSS, React Query, Zustand, Framer Motion, ShadCN UI.</w:t>
      </w:r>
    </w:p>
    <w:p>
      <w:pPr>
        <w:pStyle w:val="BodyText"/>
        <w:rPr/>
      </w:pPr>
      <w:r>
        <w:rPr>
          <w:b/>
          <w:bCs/>
        </w:rPr>
        <w:t>Backend</w:t>
      </w:r>
      <w:r>
        <w:rPr/>
        <w:t xml:space="preserve"> — Python 3.12+, FastAPI, Pydantic v2, SQLAlchemy, AsyncIO, Uvicorn, Alembic.</w:t>
      </w:r>
    </w:p>
    <w:p>
      <w:pPr>
        <w:pStyle w:val="BodyText"/>
        <w:rPr/>
      </w:pPr>
      <w:r>
        <w:rPr>
          <w:b/>
          <w:bCs/>
        </w:rPr>
        <w:t>Geospatial</w:t>
      </w:r>
      <w:r>
        <w:rPr/>
        <w:t xml:space="preserve"> — Google Earth Engine, PostGIS, Rasterio, GeoPandas, Shapely, Fiona, GDAL, PyProj.</w:t>
      </w:r>
    </w:p>
    <w:p>
      <w:pPr>
        <w:pStyle w:val="BodyText"/>
        <w:rPr/>
      </w:pPr>
      <w:r>
        <w:rPr>
          <w:b/>
          <w:bCs/>
        </w:rPr>
        <w:t>Artificial Intelligence</w:t>
      </w:r>
      <w:r>
        <w:rPr/>
        <w:t xml:space="preserve"> — LangChain, LiteLLM, OpenAI / Claude (configurable), MCP SDK.</w:t>
      </w:r>
    </w:p>
    <w:p>
      <w:pPr>
        <w:pStyle w:val="BodyText"/>
        <w:rPr/>
      </w:pPr>
      <w:r>
        <w:rPr>
          <w:b/>
          <w:bCs/>
        </w:rPr>
        <w:t>Database</w:t>
      </w:r>
      <w:r>
        <w:rPr/>
        <w:t xml:space="preserve"> — PostgreSQL, PostGIS, Redis.</w:t>
      </w:r>
    </w:p>
    <w:p>
      <w:pPr>
        <w:pStyle w:val="BodyText"/>
        <w:rPr/>
      </w:pPr>
      <w:r>
        <w:rPr>
          <w:b/>
          <w:bCs/>
        </w:rPr>
        <w:t>DevOps</w:t>
      </w:r>
      <w:r>
        <w:rPr/>
        <w:t xml:space="preserve"> — Docker, Docker Compose, GitHub Actions, Nginx, Traefik (future).</w:t>
      </w:r>
    </w:p>
    <w:p>
      <w:pPr>
        <w:pStyle w:val="BodyText"/>
        <w:rPr/>
      </w:pPr>
      <w:r>
        <w:rPr>
          <w:b/>
          <w:bCs/>
        </w:rPr>
        <w:t>Monitoring</w:t>
      </w:r>
      <w:r>
        <w:rPr/>
        <w:t xml:space="preserve"> — Prometheus, Grafana, OpenTelemetry, Loki.</w:t>
      </w:r>
    </w:p>
    <w:p>
      <w:pPr>
        <w:pStyle w:val="BodyText"/>
        <w:rPr/>
      </w:pPr>
      <w:r>
        <w:rPr>
          <w:b/>
          <w:bCs/>
        </w:rPr>
        <w:t>Testing</w:t>
      </w:r>
      <w:r>
        <w:rPr/>
        <w:t xml:space="preserve"> — Pytest, Vitest, Playwright, Coverage.py.</w:t>
      </w:r>
    </w:p>
    <w:p>
      <w:pPr>
        <w:pStyle w:val="BodyText"/>
        <w:rPr/>
      </w:pPr>
      <w:r>
        <w:rPr>
          <w:b/>
          <w:bCs/>
        </w:rPr>
        <w:t>Documentation</w:t>
      </w:r>
      <w:r>
        <w:rPr/>
        <w:t xml:space="preserve"> — OpenAPI, Swagger UI, Redoc, MkDocs.</w:t>
      </w:r>
      <w:bookmarkEnd w:id="78"/>
    </w:p>
    <w:p>
      <w:pPr>
        <w:pStyle w:val="Heading1"/>
        <w:rPr/>
      </w:pPr>
      <w:bookmarkStart w:id="79" w:name="repository-structure"/>
      <w:r>
        <w:rPr>
          <w:rStyle w:val="SectionNumber"/>
        </w:rPr>
        <w:t>10</w:t>
      </w:r>
      <w:r>
        <w:rPr/>
        <w:tab/>
        <w:t>Repository Structure</w:t>
      </w:r>
    </w:p>
    <w:p>
      <w:pPr>
        <w:pStyle w:val="FirstParagraph"/>
        <w:rPr/>
      </w:pPr>
      <w:r>
        <w:rPr/>
        <w:t>The repository shall follow a modular monorepo architecture.</w:t>
      </w:r>
    </w:p>
    <w:p>
      <w:pPr>
        <w:pStyle w:val="SourceCode"/>
        <w:rPr/>
      </w:pPr>
      <w:r>
        <w:rPr>
          <w:rStyle w:val="VerbatimChar"/>
        </w:rPr>
        <w:t>prism-earth/</w:t>
      </w:r>
      <w:r>
        <w:rPr/>
        <w:br/>
      </w:r>
      <w:r>
        <w:rPr>
          <w:rStyle w:val="VerbatimChar"/>
        </w:rPr>
        <w:t>├── backend/</w:t>
      </w:r>
      <w:r>
        <w:rPr/>
        <w:br/>
      </w:r>
      <w:r>
        <w:rPr>
          <w:rStyle w:val="VerbatimChar"/>
        </w:rPr>
        <w:t>│   ├── app/</w:t>
      </w:r>
      <w:r>
        <w:rPr/>
        <w:br/>
      </w:r>
      <w:r>
        <w:rPr>
          <w:rStyle w:val="VerbatimChar"/>
        </w:rPr>
        <w:t>│   │   ├── api/</w:t>
      </w:r>
      <w:r>
        <w:rPr/>
        <w:br/>
      </w:r>
      <w:r>
        <w:rPr>
          <w:rStyle w:val="VerbatimChar"/>
        </w:rPr>
        <w:t>│   │   ├── core/</w:t>
      </w:r>
      <w:r>
        <w:rPr/>
        <w:br/>
      </w:r>
      <w:r>
        <w:rPr>
          <w:rStyle w:val="VerbatimChar"/>
        </w:rPr>
        <w:t>│   │   ├── config/</w:t>
      </w:r>
      <w:r>
        <w:rPr/>
        <w:br/>
      </w:r>
      <w:r>
        <w:rPr>
          <w:rStyle w:val="VerbatimChar"/>
        </w:rPr>
        <w:t>│   │   ├── connectors/</w:t>
      </w:r>
      <w:r>
        <w:rPr/>
        <w:br/>
      </w:r>
      <w:r>
        <w:rPr>
          <w:rStyle w:val="VerbatimChar"/>
        </w:rPr>
        <w:t>│   │   ├── planners/</w:t>
      </w:r>
      <w:r>
        <w:rPr/>
        <w:br/>
      </w:r>
      <w:r>
        <w:rPr>
          <w:rStyle w:val="VerbatimChar"/>
        </w:rPr>
        <w:t>│   │   ├── fetchers/</w:t>
      </w:r>
      <w:r>
        <w:rPr/>
        <w:br/>
      </w:r>
      <w:r>
        <w:rPr>
          <w:rStyle w:val="VerbatimChar"/>
        </w:rPr>
        <w:t>│   │   ├── synthesizers/</w:t>
      </w:r>
      <w:r>
        <w:rPr/>
        <w:br/>
      </w:r>
      <w:r>
        <w:rPr>
          <w:rStyle w:val="VerbatimChar"/>
        </w:rPr>
        <w:t>│   │   ├── citations/</w:t>
      </w:r>
      <w:r>
        <w:rPr/>
        <w:br/>
      </w:r>
      <w:r>
        <w:rPr>
          <w:rStyle w:val="VerbatimChar"/>
        </w:rPr>
        <w:t>│   │   ├── repositories/</w:t>
      </w:r>
      <w:r>
        <w:rPr/>
        <w:br/>
      </w:r>
      <w:r>
        <w:rPr>
          <w:rStyle w:val="VerbatimChar"/>
        </w:rPr>
        <w:t>│   │   ├── services/</w:t>
      </w:r>
      <w:r>
        <w:rPr/>
        <w:br/>
      </w:r>
      <w:r>
        <w:rPr>
          <w:rStyle w:val="VerbatimChar"/>
        </w:rPr>
        <w:t>│   │   ├── models/</w:t>
      </w:r>
      <w:r>
        <w:rPr/>
        <w:br/>
      </w:r>
      <w:r>
        <w:rPr>
          <w:rStyle w:val="VerbatimChar"/>
        </w:rPr>
        <w:t>│   │   ├── schemas/</w:t>
      </w:r>
      <w:r>
        <w:rPr/>
        <w:br/>
      </w:r>
      <w:r>
        <w:rPr>
          <w:rStyle w:val="VerbatimChar"/>
        </w:rPr>
        <w:t>│   │   ├── middleware/</w:t>
      </w:r>
      <w:r>
        <w:rPr/>
        <w:br/>
      </w:r>
      <w:r>
        <w:rPr>
          <w:rStyle w:val="VerbatimChar"/>
        </w:rPr>
        <w:t>│   │   ├── workers/</w:t>
      </w:r>
      <w:r>
        <w:rPr/>
        <w:br/>
      </w:r>
      <w:r>
        <w:rPr>
          <w:rStyle w:val="VerbatimChar"/>
        </w:rPr>
        <w:t>│   │   ├── utils/</w:t>
      </w:r>
      <w:r>
        <w:rPr/>
        <w:br/>
      </w:r>
      <w:r>
        <w:rPr>
          <w:rStyle w:val="VerbatimChar"/>
        </w:rPr>
        <w:t>│   │   └── tests/</w:t>
      </w:r>
      <w:r>
        <w:rPr/>
        <w:br/>
      </w:r>
      <w:r>
        <w:rPr>
          <w:rStyle w:val="VerbatimChar"/>
        </w:rPr>
        <w:t>│   ├── migrations/</w:t>
      </w:r>
      <w:r>
        <w:rPr/>
        <w:br/>
      </w:r>
      <w:r>
        <w:rPr>
          <w:rStyle w:val="VerbatimChar"/>
        </w:rPr>
        <w:t>│   └── requirements/</w:t>
      </w:r>
      <w:r>
        <w:rPr/>
        <w:br/>
      </w:r>
      <w:r>
        <w:rPr>
          <w:rStyle w:val="VerbatimChar"/>
        </w:rPr>
        <w:t>├── frontend/</w:t>
      </w:r>
      <w:r>
        <w:rPr/>
        <w:br/>
      </w:r>
      <w:r>
        <w:rPr>
          <w:rStyle w:val="VerbatimChar"/>
        </w:rPr>
        <w:t>│   ├── app/</w:t>
      </w:r>
      <w:r>
        <w:rPr/>
        <w:br/>
      </w:r>
      <w:r>
        <w:rPr>
          <w:rStyle w:val="VerbatimChar"/>
        </w:rPr>
        <w:t>│   ├── components/</w:t>
      </w:r>
      <w:r>
        <w:rPr/>
        <w:br/>
      </w:r>
      <w:r>
        <w:rPr>
          <w:rStyle w:val="VerbatimChar"/>
        </w:rPr>
        <w:t>│   ├── features/</w:t>
      </w:r>
      <w:r>
        <w:rPr/>
        <w:br/>
      </w:r>
      <w:r>
        <w:rPr>
          <w:rStyle w:val="VerbatimChar"/>
        </w:rPr>
        <w:t>│   ├── hooks/</w:t>
      </w:r>
      <w:r>
        <w:rPr/>
        <w:br/>
      </w:r>
      <w:r>
        <w:rPr>
          <w:rStyle w:val="VerbatimChar"/>
        </w:rPr>
        <w:t>│   ├── services/</w:t>
      </w:r>
      <w:r>
        <w:rPr/>
        <w:br/>
      </w:r>
      <w:r>
        <w:rPr>
          <w:rStyle w:val="VerbatimChar"/>
        </w:rPr>
        <w:t>│   ├── stores/</w:t>
      </w:r>
      <w:r>
        <w:rPr/>
        <w:br/>
      </w:r>
      <w:r>
        <w:rPr>
          <w:rStyle w:val="VerbatimChar"/>
        </w:rPr>
        <w:t>│   ├── types/</w:t>
      </w:r>
      <w:r>
        <w:rPr/>
        <w:br/>
      </w:r>
      <w:r>
        <w:rPr>
          <w:rStyle w:val="VerbatimChar"/>
        </w:rPr>
        <w:t>│   ├── styles/</w:t>
      </w:r>
      <w:r>
        <w:rPr/>
        <w:br/>
      </w:r>
      <w:r>
        <w:rPr>
          <w:rStyle w:val="VerbatimChar"/>
        </w:rPr>
        <w:t>│   └── tests/</w:t>
      </w:r>
      <w:r>
        <w:rPr/>
        <w:br/>
      </w:r>
      <w:r>
        <w:rPr>
          <w:rStyle w:val="VerbatimChar"/>
        </w:rPr>
        <w:t>├── datasets/</w:t>
      </w:r>
      <w:r>
        <w:rPr/>
        <w:br/>
      </w:r>
      <w:r>
        <w:rPr>
          <w:rStyle w:val="VerbatimChar"/>
        </w:rPr>
        <w:t>│   ├── telangana/</w:t>
      </w:r>
      <w:r>
        <w:rPr/>
        <w:br/>
      </w:r>
      <w:r>
        <w:rPr>
          <w:rStyle w:val="VerbatimChar"/>
        </w:rPr>
        <w:t>│   ├── raster/</w:t>
      </w:r>
      <w:r>
        <w:rPr/>
        <w:br/>
      </w:r>
      <w:r>
        <w:rPr>
          <w:rStyle w:val="VerbatimChar"/>
        </w:rPr>
        <w:t>│   ├── vector/</w:t>
      </w:r>
      <w:r>
        <w:rPr/>
        <w:br/>
      </w:r>
      <w:r>
        <w:rPr>
          <w:rStyle w:val="VerbatimChar"/>
        </w:rPr>
        <w:t>│   └── metadata/</w:t>
      </w:r>
      <w:r>
        <w:rPr/>
        <w:br/>
      </w:r>
      <w:r>
        <w:rPr>
          <w:rStyle w:val="VerbatimChar"/>
        </w:rPr>
        <w:t>├── configs/</w:t>
      </w:r>
      <w:r>
        <w:rPr/>
        <w:br/>
      </w:r>
      <w:r>
        <w:rPr>
          <w:rStyle w:val="VerbatimChar"/>
        </w:rPr>
        <w:t>│   ├── india.yaml</w:t>
      </w:r>
      <w:r>
        <w:rPr/>
        <w:br/>
      </w:r>
      <w:r>
        <w:rPr>
          <w:rStyle w:val="VerbatimChar"/>
        </w:rPr>
        <w:t>│   ├── telangana.yaml</w:t>
      </w:r>
      <w:r>
        <w:rPr/>
        <w:br/>
      </w:r>
      <w:r>
        <w:rPr>
          <w:rStyle w:val="VerbatimChar"/>
        </w:rPr>
        <w:t>│   └── datasets.yaml</w:t>
      </w:r>
      <w:r>
        <w:rPr/>
        <w:br/>
      </w:r>
      <w:r>
        <w:rPr>
          <w:rStyle w:val="VerbatimChar"/>
        </w:rPr>
        <w:t>├── docs/</w:t>
      </w:r>
      <w:r>
        <w:rPr/>
        <w:br/>
      </w:r>
      <w:r>
        <w:rPr>
          <w:rStyle w:val="VerbatimChar"/>
        </w:rPr>
        <w:t>├── deployment/</w:t>
      </w:r>
      <w:r>
        <w:rPr/>
        <w:br/>
      </w:r>
      <w:r>
        <w:rPr>
          <w:rStyle w:val="VerbatimChar"/>
        </w:rPr>
        <w:t>├── docker/</w:t>
      </w:r>
      <w:r>
        <w:rPr/>
        <w:br/>
      </w:r>
      <w:r>
        <w:rPr>
          <w:rStyle w:val="VerbatimChar"/>
        </w:rPr>
        <w:t>├── scripts/</w:t>
      </w:r>
      <w:r>
        <w:rPr/>
        <w:br/>
      </w:r>
      <w:r>
        <w:rPr>
          <w:rStyle w:val="VerbatimChar"/>
        </w:rPr>
        <w:t>├── tests/</w:t>
      </w:r>
      <w:r>
        <w:rPr/>
        <w:br/>
      </w:r>
      <w:r>
        <w:rPr>
          <w:rStyle w:val="VerbatimChar"/>
        </w:rPr>
        <w:t>├── .github/</w:t>
      </w:r>
      <w:r>
        <w:rPr/>
        <w:br/>
      </w:r>
      <w:r>
        <w:rPr>
          <w:rStyle w:val="VerbatimChar"/>
        </w:rPr>
        <w:t>├── docker-compose.yml</w:t>
      </w:r>
      <w:r>
        <w:rPr/>
        <w:br/>
      </w:r>
      <w:r>
        <w:rPr>
          <w:rStyle w:val="VerbatimChar"/>
        </w:rPr>
        <w:t>├── README.md</w:t>
      </w:r>
      <w:r>
        <w:rPr/>
        <w:br/>
      </w:r>
      <w:r>
        <w:rPr>
          <w:rStyle w:val="VerbatimChar"/>
        </w:rPr>
        <w:t>└── LICENSE</w:t>
      </w:r>
    </w:p>
    <w:p>
      <w:pPr>
        <w:pStyle w:val="FirstParagraph"/>
        <w:rPr/>
      </w:pPr>
      <w:r>
        <w:rPr>
          <w:b/>
          <w:bCs/>
        </w:rPr>
        <w:t>Repository Principles</w:t>
      </w:r>
      <w:r>
        <w:rPr/>
        <w:t xml:space="preserve"> — clear separation of concerns; configuration-driven behavior; dataset isolation; independent connectors; API versioning support; test-first development; documentation alongside implementation; no business logic in UI components; no hardcoded state-specific values; future-proof structure for nationwide expansion.</w:t>
      </w:r>
      <w:bookmarkEnd w:id="79"/>
    </w:p>
    <w:p>
      <w:pPr>
        <w:pStyle w:val="Heading1"/>
        <w:rPr/>
      </w:pPr>
      <w:bookmarkStart w:id="80" w:name="backend-architecture"/>
      <w:r>
        <w:rPr>
          <w:rStyle w:val="SectionNumber"/>
        </w:rPr>
        <w:t>11</w:t>
      </w:r>
      <w:r>
        <w:rPr/>
        <w:tab/>
        <w:t>Backend Architecture</w:t>
      </w:r>
    </w:p>
    <w:p>
      <w:pPr>
        <w:pStyle w:val="FirstParagraph"/>
        <w:rPr/>
      </w:pPr>
      <w:r>
        <w:rPr/>
        <w:t>The Prism Earth Backend is the core processing engine responsible for converting geographical coordinates into deterministic, citation-backed geospatial intelligence. Unlike traditional GIS applications, the backend is not a simple REST API — it is a modular geospatial intelligence platform that orchestrates multiple datasets, AI planning, deterministic data retrieval, provenance tracking, and response synthesis.</w:t>
      </w:r>
    </w:p>
    <w:p>
      <w:pPr>
        <w:pStyle w:val="BodyText"/>
        <w:rPr/>
      </w:pPr>
      <w:r>
        <w:rPr/>
        <w:t>The backend is designed to be production-ready, cloud-native, and highly extensible, allowing seamless expansion from the pilot region to nationwide coverage without requiring significant architectural redesign. It follows the same architectural philosophy as Mireye Earth while being adapted specifically for Indian government datasets, satellite imagery, and administrative boundaries.</w:t>
      </w:r>
    </w:p>
    <w:p>
      <w:pPr>
        <w:pStyle w:val="Heading2"/>
        <w:rPr/>
      </w:pPr>
      <w:bookmarkStart w:id="81" w:name="objectives"/>
      <w:r>
        <w:rPr>
          <w:rStyle w:val="SectionNumber"/>
        </w:rPr>
        <w:t>11.1</w:t>
      </w:r>
      <w:r>
        <w:rPr/>
        <w:tab/>
        <w:t>Objectives</w:t>
      </w:r>
    </w:p>
    <w:p>
      <w:pPr>
        <w:pStyle w:val="FirstParagraph"/>
        <w:rPr/>
      </w:pPr>
      <w:r>
        <w:rPr/>
        <w:t>The backend architecture has the following objectives:</w:t>
      </w:r>
    </w:p>
    <w:p>
      <w:pPr>
        <w:pStyle w:val="Compact"/>
        <w:numPr>
          <w:ilvl w:val="0"/>
          <w:numId w:val="165"/>
        </w:numPr>
        <w:rPr/>
      </w:pPr>
      <w:r>
        <w:rPr/>
        <w:t>Provide deterministic geospatial data retrieval.</w:t>
      </w:r>
    </w:p>
    <w:p>
      <w:pPr>
        <w:pStyle w:val="Compact"/>
        <w:numPr>
          <w:ilvl w:val="0"/>
          <w:numId w:val="166"/>
        </w:numPr>
        <w:rPr/>
      </w:pPr>
      <w:r>
        <w:rPr/>
        <w:t>Aggregate data from multiple heterogeneous datasets.</w:t>
      </w:r>
    </w:p>
    <w:p>
      <w:pPr>
        <w:pStyle w:val="Compact"/>
        <w:numPr>
          <w:ilvl w:val="0"/>
          <w:numId w:val="167"/>
        </w:numPr>
        <w:rPr/>
      </w:pPr>
      <w:r>
        <w:rPr/>
        <w:t>Maintain complete provenance for every returned value.</w:t>
      </w:r>
    </w:p>
    <w:p>
      <w:pPr>
        <w:pStyle w:val="Compact"/>
        <w:numPr>
          <w:ilvl w:val="0"/>
          <w:numId w:val="168"/>
        </w:numPr>
        <w:rPr/>
      </w:pPr>
      <w:r>
        <w:rPr/>
        <w:t>Ensure transparency through source citations.</w:t>
      </w:r>
    </w:p>
    <w:p>
      <w:pPr>
        <w:pStyle w:val="Compact"/>
        <w:numPr>
          <w:ilvl w:val="0"/>
          <w:numId w:val="169"/>
        </w:numPr>
        <w:rPr/>
      </w:pPr>
      <w:r>
        <w:rPr/>
        <w:t>Support AI-assisted natural language queries.</w:t>
      </w:r>
    </w:p>
    <w:p>
      <w:pPr>
        <w:pStyle w:val="Compact"/>
        <w:numPr>
          <w:ilvl w:val="0"/>
          <w:numId w:val="170"/>
        </w:numPr>
        <w:rPr/>
      </w:pPr>
      <w:r>
        <w:rPr/>
        <w:t>Allow independent evolution of datasets and connectors.</w:t>
      </w:r>
    </w:p>
    <w:p>
      <w:pPr>
        <w:pStyle w:val="Compact"/>
        <w:numPr>
          <w:ilvl w:val="0"/>
          <w:numId w:val="171"/>
        </w:numPr>
        <w:rPr/>
      </w:pPr>
      <w:r>
        <w:rPr/>
        <w:t>Support future expansion to all Indian States and Union Territories.</w:t>
      </w:r>
    </w:p>
    <w:p>
      <w:pPr>
        <w:pStyle w:val="Compact"/>
        <w:numPr>
          <w:ilvl w:val="0"/>
          <w:numId w:val="172"/>
        </w:numPr>
        <w:rPr/>
      </w:pPr>
      <w:bookmarkStart w:id="82" w:name="objectives"/>
      <w:r>
        <w:rPr/>
        <w:t>Enable enterprise deployment with high availability and scalability.</w:t>
      </w:r>
      <w:bookmarkEnd w:id="82"/>
    </w:p>
    <w:p>
      <w:pPr>
        <w:pStyle w:val="Heading2"/>
        <w:rPr/>
      </w:pPr>
      <w:bookmarkStart w:id="83" w:name="architectural-principles"/>
      <w:r>
        <w:rPr>
          <w:rStyle w:val="SectionNumber"/>
        </w:rPr>
        <w:t>11.2</w:t>
      </w:r>
      <w:r>
        <w:rPr/>
        <w:tab/>
        <w:t>Architectural Principles</w:t>
      </w:r>
    </w:p>
    <w:p>
      <w:pPr>
        <w:pStyle w:val="FirstParagraph"/>
        <w:rPr/>
      </w:pPr>
      <w:r>
        <w:rPr>
          <w:b/>
          <w:bCs/>
        </w:rPr>
        <w:t>Clean Architecture</w:t>
      </w:r>
      <w:r>
        <w:rPr/>
        <w:t xml:space="preserve"> — business rules shall remain independent from frameworks, databases, APIs, AI models, and user interfaces. Core domain logic shall never depend on implementation-specific technologies.</w:t>
      </w:r>
    </w:p>
    <w:p>
      <w:pPr>
        <w:pStyle w:val="BodyText"/>
        <w:rPr/>
      </w:pPr>
      <w:r>
        <w:rPr>
          <w:b/>
          <w:bCs/>
        </w:rPr>
        <w:t>SOLID Principles</w:t>
      </w:r>
      <w:r>
        <w:rPr/>
        <w:t xml:space="preserve"> — every component shall follow SOLID principles to maximize maintainability and extensibility.</w:t>
      </w:r>
    </w:p>
    <w:p>
      <w:pPr>
        <w:pStyle w:val="BodyText"/>
        <w:rPr/>
      </w:pPr>
      <w:r>
        <w:rPr>
          <w:b/>
          <w:bCs/>
        </w:rPr>
        <w:t>API-First Design</w:t>
      </w:r>
      <w:r>
        <w:rPr/>
        <w:t xml:space="preserve"> — every feature shall first be exposed through versioned REST APIs. The frontend, MCP server, and external integrations shall consume identical APIs.</w:t>
      </w:r>
    </w:p>
    <w:p>
      <w:pPr>
        <w:pStyle w:val="BodyText"/>
        <w:rPr/>
      </w:pPr>
      <w:r>
        <w:rPr>
          <w:b/>
          <w:bCs/>
        </w:rPr>
        <w:t>Configuration-Driven Design</w:t>
      </w:r>
      <w:r>
        <w:rPr/>
        <w:t xml:space="preserve"> — no dataset-specific logic shall be hardcoded. State-specific behavior, connector configuration, dataset versions, cache policies, and supported fields shall be configurable through external configuration files.</w:t>
      </w:r>
    </w:p>
    <w:p>
      <w:pPr>
        <w:pStyle w:val="BodyText"/>
        <w:rPr/>
      </w:pPr>
      <w:r>
        <w:rPr>
          <w:b/>
          <w:bCs/>
        </w:rPr>
        <w:t>Deterministic Execution</w:t>
      </w:r>
      <w:r>
        <w:rPr/>
        <w:t xml:space="preserve"> — for identical inputs and identical dataset versions, the system shall always produce identical outputs. The backend shall never fabricate values or estimate missing information.</w:t>
      </w:r>
    </w:p>
    <w:p>
      <w:pPr>
        <w:pStyle w:val="BodyText"/>
        <w:rPr/>
      </w:pPr>
      <w:r>
        <w:rPr>
          <w:b/>
          <w:bCs/>
        </w:rPr>
        <w:t>Explainability</w:t>
      </w:r>
      <w:r>
        <w:rPr/>
        <w:t xml:space="preserve"> — every returned value shall include sufficient metadata to explain where the value originated, which dataset produced it, when it was retrieved, which dataset version was used, and how long the value remains valid.</w:t>
      </w:r>
    </w:p>
    <w:p>
      <w:pPr>
        <w:pStyle w:val="BodyText"/>
        <w:rPr/>
      </w:pPr>
      <w:r>
        <w:rPr>
          <w:b/>
          <w:bCs/>
        </w:rPr>
        <w:t>Modular Connector Architecture</w:t>
      </w:r>
      <w:r>
        <w:rPr/>
        <w:t xml:space="preserve"> — every dataset shall be isolated inside an independent connector module implementing a common interface. Adding or replacing a dataset shall not affect business logic.</w:t>
      </w:r>
      <w:bookmarkEnd w:id="83"/>
    </w:p>
    <w:p>
      <w:pPr>
        <w:pStyle w:val="Heading2"/>
        <w:rPr/>
      </w:pPr>
      <w:bookmarkStart w:id="84" w:name="layered-architecture"/>
      <w:r>
        <w:rPr>
          <w:rStyle w:val="SectionNumber"/>
        </w:rPr>
        <w:t>11.3</w:t>
      </w:r>
      <w:r>
        <w:rPr/>
        <w:tab/>
        <w:t>Layered Architecture</w:t>
      </w:r>
    </w:p>
    <w:p>
      <w:pPr>
        <w:pStyle w:val="FirstParagraph"/>
        <w:rPr/>
      </w:pPr>
      <w:r>
        <w:rPr/>
        <w:t>The backend consists of eight logical layers.</w:t>
      </w:r>
    </w:p>
    <w:p>
      <w:pPr>
        <w:pStyle w:val="BodyText"/>
        <w:rPr/>
      </w:pPr>
      <w:r>
        <w:rPr>
          <w:b/>
          <w:bCs/>
        </w:rPr>
        <w:t>Layer 1 — API Gateway</w:t>
      </w:r>
      <w:r>
        <w:rPr/>
        <w:t>: route requests, validate payloads, handle authentication, apply middleware, generate OpenAPI documentation, and manage API versioning.</w:t>
      </w:r>
    </w:p>
    <w:p>
      <w:pPr>
        <w:pStyle w:val="BodyText"/>
        <w:rPr/>
      </w:pPr>
      <w:r>
        <w:rPr>
          <w:b/>
          <w:bCs/>
        </w:rPr>
        <w:t>Layer 2 — Planner</w:t>
      </w:r>
      <w:r>
        <w:rPr/>
        <w:t>: interpret natural language, read the field catalog, select required fields, and produce deterministic execution plans. The Planner never accesses datasets directly.</w:t>
      </w:r>
    </w:p>
    <w:p>
      <w:pPr>
        <w:pStyle w:val="BodyText"/>
        <w:rPr/>
      </w:pPr>
      <w:r>
        <w:rPr>
          <w:b/>
          <w:bCs/>
        </w:rPr>
        <w:t>Layer 3 — Fetch Orchestrator</w:t>
      </w:r>
      <w:r>
        <w:rPr/>
        <w:t>: expand presets, validate field availability, group fields by layer, execute connectors concurrently, collect provenance, and handle partial failures.</w:t>
      </w:r>
    </w:p>
    <w:p>
      <w:pPr>
        <w:pStyle w:val="BodyText"/>
        <w:rPr/>
      </w:pPr>
      <w:r>
        <w:rPr>
          <w:b/>
          <w:bCs/>
        </w:rPr>
        <w:t>Layer 4 — Connector Registry</w:t>
      </w:r>
      <w:r>
        <w:rPr/>
        <w:t>: maintains all available dataset connectors (Terrain, Climate, Land Cover, Natural Hazard, Infrastructure, Administrative, Cadastral) and determines which connector owns a requested field.</w:t>
      </w:r>
    </w:p>
    <w:p>
      <w:pPr>
        <w:pStyle w:val="BodyText"/>
        <w:rPr/>
      </w:pPr>
      <w:r>
        <w:rPr>
          <w:b/>
          <w:bCs/>
        </w:rPr>
        <w:t>Layer 5 — Dataset Connectors</w:t>
      </w:r>
      <w:r>
        <w:rPr/>
        <w:t xml:space="preserve">: each connector communicates with exactly one logical dataset. For example, the Terrain Connector supports </w:t>
      </w:r>
      <w:r>
        <w:rPr>
          <w:rStyle w:val="VerbatimChar"/>
        </w:rPr>
        <w:t>elevation</w:t>
      </w:r>
      <w:r>
        <w:rPr/>
        <w:t xml:space="preserve">, </w:t>
      </w:r>
      <w:r>
        <w:rPr>
          <w:rStyle w:val="VerbatimChar"/>
        </w:rPr>
        <w:t>slope</w:t>
      </w:r>
      <w:r>
        <w:rPr/>
        <w:t xml:space="preserve">, </w:t>
      </w:r>
      <w:r>
        <w:rPr>
          <w:rStyle w:val="VerbatimChar"/>
        </w:rPr>
        <w:t>aspect</w:t>
      </w:r>
      <w:r>
        <w:rPr/>
        <w:t xml:space="preserve">, </w:t>
      </w:r>
      <w:r>
        <w:rPr>
          <w:rStyle w:val="VerbatimChar"/>
        </w:rPr>
        <w:t>terrain_roughness</w:t>
      </w:r>
      <w:r>
        <w:rPr/>
        <w:t xml:space="preserve">, </w:t>
      </w:r>
      <w:r>
        <w:rPr>
          <w:rStyle w:val="VerbatimChar"/>
        </w:rPr>
        <w:t>topographic_wetness_index</w:t>
      </w:r>
      <w:r>
        <w:rPr/>
        <w:t xml:space="preserve">, </w:t>
      </w:r>
      <w:r>
        <w:rPr>
          <w:rStyle w:val="VerbatimChar"/>
        </w:rPr>
        <w:t>soil_drainage_class</w:t>
      </w:r>
      <w:r>
        <w:rPr/>
        <w:t xml:space="preserve">, and </w:t>
      </w:r>
      <w:r>
        <w:rPr>
          <w:rStyle w:val="VerbatimChar"/>
        </w:rPr>
        <w:t>groundwater_depth_m</w:t>
      </w:r>
      <w:r>
        <w:rPr/>
        <w:t>, sourced from ISRO CartoDEM, Copernicus DEM, SoilGrids, and TerraClimate. Future versions may replace or extend datasets without affecting downstream services.</w:t>
      </w:r>
    </w:p>
    <w:p>
      <w:pPr>
        <w:pStyle w:val="BodyText"/>
        <w:rPr/>
      </w:pPr>
      <w:r>
        <w:rPr>
          <w:b/>
          <w:bCs/>
        </w:rPr>
        <w:t>Layer 6 — Citation Engine</w:t>
      </w:r>
      <w:r>
        <w:rPr/>
        <w:t>: source attribution, dataset version tracking, confidence aggregation, citation URL generation, fetch timestamps, and dataset TTL.</w:t>
      </w:r>
    </w:p>
    <w:p>
      <w:pPr>
        <w:pStyle w:val="BodyText"/>
        <w:rPr/>
      </w:pPr>
      <w:r>
        <w:rPr>
          <w:b/>
          <w:bCs/>
        </w:rPr>
        <w:t>Layer 7 — Synthesizer</w:t>
      </w:r>
      <w:r>
        <w:rPr/>
        <w:t>: transforms structured field values into human-readable responses. It shall never invent values, never estimate, never remove citations, and never summarize unavailable data as existing.</w:t>
      </w:r>
    </w:p>
    <w:p>
      <w:pPr>
        <w:pStyle w:val="BodyText"/>
        <w:rPr/>
      </w:pPr>
      <w:r>
        <w:rPr>
          <w:b/>
          <w:bCs/>
        </w:rPr>
        <w:t>Layer 8 — Persistence</w:t>
      </w:r>
      <w:r>
        <w:rPr/>
        <w:t>: metadata, spatial indexes, cached datasets, logs, configuration, and audit records.</w:t>
      </w:r>
      <w:bookmarkEnd w:id="84"/>
    </w:p>
    <w:p>
      <w:pPr>
        <w:pStyle w:val="Heading2"/>
        <w:rPr/>
      </w:pPr>
      <w:bookmarkStart w:id="85" w:name="metadata-catalog"/>
      <w:r>
        <w:rPr>
          <w:rStyle w:val="SectionNumber"/>
        </w:rPr>
        <w:t>11.4</w:t>
      </w:r>
      <w:r>
        <w:rPr/>
        <w:tab/>
        <w:t>Metadata Catalog</w:t>
      </w:r>
    </w:p>
    <w:p>
      <w:pPr>
        <w:pStyle w:val="FirstParagraph"/>
        <w:rPr/>
      </w:pPr>
      <w:r>
        <w:rPr/>
        <w:t>The Metadata Catalog is the authoritative registry for every field supported by the platform. It is the single source of truth referenced by every other subsystem.</w:t>
      </w:r>
    </w:p>
    <w:p>
      <w:pPr>
        <w:pStyle w:val="BodyText"/>
        <w:rPr/>
      </w:pPr>
      <w:r>
        <w:rPr/>
        <w:t>The catalog drives Planner decisions, client validation, API documentation, UI generation, and connector routing.</w:t>
      </w:r>
    </w:p>
    <w:p>
      <w:pPr>
        <w:pStyle w:val="BodyText"/>
        <w:rPr/>
      </w:pPr>
      <w:r>
        <w:rPr/>
        <w:t>Each catalog entry shall contain: Field Name, Description, Layer, Lifecycle, Availability, Nullable flag, Null Meaning, Source, Source URL, Dataset TTL, Interpretation Hints, Unit, Data Type, and Supported Presets.</w:t>
      </w:r>
    </w:p>
    <w:p>
      <w:pPr>
        <w:pStyle w:val="BodyText"/>
        <w:rPr/>
      </w:pPr>
      <w:r>
        <w:rPr>
          <w:b/>
          <w:bCs/>
        </w:rPr>
        <w:t>Catalog Statistics (Version 1.0).</w:t>
      </w:r>
      <w:r>
        <w:rPr/>
        <w:t xml:space="preserve"> The initial production catalog contains:</w:t>
      </w:r>
    </w:p>
    <w:p>
      <w:pPr>
        <w:pStyle w:val="Compact"/>
        <w:numPr>
          <w:ilvl w:val="0"/>
          <w:numId w:val="173"/>
        </w:numPr>
        <w:rPr/>
      </w:pPr>
      <w:r>
        <w:rPr>
          <w:b/>
          <w:bCs/>
        </w:rPr>
        <w:t>157 standardized fields</w:t>
      </w:r>
    </w:p>
    <w:p>
      <w:pPr>
        <w:pStyle w:val="Compact"/>
        <w:numPr>
          <w:ilvl w:val="0"/>
          <w:numId w:val="174"/>
        </w:numPr>
        <w:rPr/>
      </w:pPr>
      <w:r>
        <w:rPr>
          <w:b/>
          <w:bCs/>
        </w:rPr>
        <w:t>7 logical layers</w:t>
      </w:r>
    </w:p>
    <w:p>
      <w:pPr>
        <w:pStyle w:val="Compact"/>
        <w:numPr>
          <w:ilvl w:val="0"/>
          <w:numId w:val="175"/>
        </w:numPr>
        <w:rPr/>
      </w:pPr>
      <w:r>
        <w:rPr>
          <w:b/>
          <w:bCs/>
        </w:rPr>
        <w:t>14 predefined presets</w:t>
      </w:r>
    </w:p>
    <w:p>
      <w:pPr>
        <w:pStyle w:val="Compact"/>
        <w:numPr>
          <w:ilvl w:val="0"/>
          <w:numId w:val="176"/>
        </w:numPr>
        <w:rPr/>
      </w:pPr>
      <w:r>
        <w:rPr/>
        <w:t>India spatial envelope</w:t>
      </w:r>
    </w:p>
    <w:p>
      <w:pPr>
        <w:pStyle w:val="Compact"/>
        <w:numPr>
          <w:ilvl w:val="0"/>
          <w:numId w:val="177"/>
        </w:numPr>
        <w:rPr/>
      </w:pPr>
      <w:r>
        <w:rPr/>
        <w:t xml:space="preserve">Active pilot-region boundary (see the </w:t>
      </w:r>
      <w:r>
        <w:rPr>
          <w:i/>
          <w:iCs/>
        </w:rPr>
        <w:t>Telangana MVP</w:t>
      </w:r>
      <w:r>
        <w:rPr/>
        <w:t xml:space="preserve"> chapter)</w:t>
      </w:r>
    </w:p>
    <w:p>
      <w:pPr>
        <w:pStyle w:val="Compact"/>
        <w:numPr>
          <w:ilvl w:val="0"/>
          <w:numId w:val="178"/>
        </w:numPr>
        <w:rPr/>
      </w:pPr>
      <w:r>
        <w:rPr/>
        <w:t>Dataset metadata</w:t>
      </w:r>
    </w:p>
    <w:p>
      <w:pPr>
        <w:pStyle w:val="Compact"/>
        <w:numPr>
          <w:ilvl w:val="0"/>
          <w:numId w:val="179"/>
        </w:numPr>
        <w:rPr/>
      </w:pPr>
      <w:r>
        <w:rPr/>
        <w:t>Lifecycle information</w:t>
      </w:r>
    </w:p>
    <w:p>
      <w:pPr>
        <w:pStyle w:val="FirstParagraph"/>
        <w:rPr/>
      </w:pPr>
      <w:bookmarkStart w:id="86" w:name="metadata-catalog"/>
      <w:r>
        <w:rPr/>
        <w:t>These figures define the size of the active metadata catalog and are stated here, in the Metadata Catalog, as the single canonical reference. All other chapters refer to “the active metadata catalog” rather than restating these counts.</w:t>
      </w:r>
      <w:bookmarkEnd w:id="86"/>
    </w:p>
    <w:p>
      <w:pPr>
        <w:pStyle w:val="Heading2"/>
        <w:rPr/>
      </w:pPr>
      <w:bookmarkStart w:id="87" w:name="domain-layers"/>
      <w:r>
        <w:rPr>
          <w:rStyle w:val="SectionNumber"/>
        </w:rPr>
        <w:t>11.5</w:t>
      </w:r>
      <w:r>
        <w:rPr/>
        <w:tab/>
        <w:t>Domain Layers</w:t>
      </w:r>
    </w:p>
    <w:p>
      <w:pPr>
        <w:pStyle w:val="FirstParagraph"/>
        <w:rPr/>
      </w:pPr>
      <w:r>
        <w:rPr/>
        <w:t>Every field belongs to one of seven layers.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Elevation, slope, soils, groundwater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Climate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Rainfall, temperature, aridity, wind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 Cover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Vegetation, NDVI, cropland, wetlands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Natural Hazard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Flood, fire, cyclone, seismic</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Roads, power, telecom, population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Administrative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district, taluk, ULB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Cadastral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Parcel, survey number, zoning</w:t>
            </w:r>
          </w:p>
        </w:tc>
      </w:tr>
    </w:tbl>
    <w:p>
      <w:pPr>
        <w:pStyle w:val="BodyText"/>
        <w:rPr/>
      </w:pPr>
      <w:bookmarkStart w:id="88" w:name="domain-layers"/>
      <w:r>
        <w:rPr/>
        <w:t>Each layer owns its connector.</w:t>
      </w:r>
      <w:bookmarkEnd w:id="88"/>
    </w:p>
    <w:p>
      <w:pPr>
        <w:pStyle w:val="Heading2"/>
        <w:rPr/>
      </w:pPr>
      <w:bookmarkStart w:id="89" w:name="field-lifecycle-model"/>
      <w:r>
        <w:rPr>
          <w:rStyle w:val="SectionNumber"/>
        </w:rPr>
        <w:t>11.6</w:t>
      </w:r>
      <w:r>
        <w:rPr/>
        <w:tab/>
        <w:t>Field Lifecycle Model</w:t>
      </w:r>
    </w:p>
    <w:p>
      <w:pPr>
        <w:pStyle w:val="FirstParagraph"/>
        <w:rPr/>
      </w:pPr>
      <w:r>
        <w:rPr/>
        <w:t>Every field shall include a lifecycle indicator.</w:t>
      </w:r>
    </w:p>
    <w:p>
      <w:pPr>
        <w:pStyle w:val="BodyText"/>
        <w:rPr/>
      </w:pPr>
      <w:r>
        <w:rPr>
          <w:b/>
          <w:bCs/>
        </w:rPr>
        <w:t>Stable</w:t>
      </w:r>
      <w:r>
        <w:rPr/>
        <w:t xml:space="preserve"> — production-ready with guaranteed API compatibility (e.g. </w:t>
      </w:r>
      <w:r>
        <w:rPr>
          <w:rStyle w:val="VerbatimChar"/>
        </w:rPr>
        <w:t>elevation</w:t>
      </w:r>
      <w:r>
        <w:rPr/>
        <w:t xml:space="preserve">, </w:t>
      </w:r>
      <w:r>
        <w:rPr>
          <w:rStyle w:val="VerbatimChar"/>
        </w:rPr>
        <w:t>slope</w:t>
      </w:r>
      <w:r>
        <w:rPr/>
        <w:t xml:space="preserve">, </w:t>
      </w:r>
      <w:r>
        <w:rPr>
          <w:rStyle w:val="VerbatimChar"/>
        </w:rPr>
        <w:t>ndvi_current</w:t>
      </w:r>
      <w:r>
        <w:rPr/>
        <w:t xml:space="preserve">, </w:t>
      </w:r>
      <w:r>
        <w:rPr>
          <w:rStyle w:val="VerbatimChar"/>
        </w:rPr>
        <w:t>state_name</w:t>
      </w:r>
      <w:r>
        <w:rPr/>
        <w:t>).</w:t>
      </w:r>
    </w:p>
    <w:p>
      <w:pPr>
        <w:pStyle w:val="BodyText"/>
        <w:rPr/>
      </w:pPr>
      <w:r>
        <w:rPr>
          <w:b/>
          <w:bCs/>
        </w:rPr>
        <w:t>Beta</w:t>
      </w:r>
      <w:r>
        <w:rPr/>
        <w:t xml:space="preserve"> — available only for supported regions (e.g. </w:t>
      </w:r>
      <w:r>
        <w:rPr>
          <w:rStyle w:val="VerbatimChar"/>
        </w:rPr>
        <w:t>parcel_id</w:t>
      </w:r>
      <w:r>
        <w:rPr/>
        <w:t xml:space="preserve">, </w:t>
      </w:r>
      <w:r>
        <w:rPr>
          <w:rStyle w:val="VerbatimChar"/>
        </w:rPr>
        <w:t>ward_name</w:t>
      </w:r>
      <w:r>
        <w:rPr/>
        <w:t xml:space="preserve">, </w:t>
      </w:r>
      <w:r>
        <w:rPr>
          <w:rStyle w:val="VerbatimChar"/>
        </w:rPr>
        <w:t>dominant_crop_class</w:t>
      </w:r>
      <w:r>
        <w:rPr/>
        <w:t>).</w:t>
      </w:r>
    </w:p>
    <w:p>
      <w:pPr>
        <w:pStyle w:val="BodyText"/>
        <w:rPr/>
      </w:pPr>
      <w:r>
        <w:rPr>
          <w:b/>
          <w:bCs/>
        </w:rPr>
        <w:t>Planned</w:t>
      </w:r>
      <w:r>
        <w:rPr/>
        <w:t xml:space="preserve"> — defined in the catalog but unavailable for retrieval. The Planner shall never select planned fields, and the Fetch Engine shall reject direct requests for them.</w:t>
      </w:r>
      <w:bookmarkEnd w:id="89"/>
    </w:p>
    <w:p>
      <w:pPr>
        <w:pStyle w:val="Heading2"/>
        <w:rPr/>
      </w:pPr>
      <w:bookmarkStart w:id="90" w:name="preset-system"/>
      <w:r>
        <w:rPr>
          <w:rStyle w:val="SectionNumber"/>
        </w:rPr>
        <w:t>11.7</w:t>
      </w:r>
      <w:r>
        <w:rPr/>
        <w:tab/>
        <w:t>Preset System</w:t>
      </w:r>
    </w:p>
    <w:p>
      <w:pPr>
        <w:pStyle w:val="FirstParagraph"/>
        <w:rPr/>
      </w:pPr>
      <w:r>
        <w:rPr/>
        <w:t>The backend shall support predefined field bundles that are expanded before connector execution. Examples include:</w:t>
      </w:r>
    </w:p>
    <w:p>
      <w:pPr>
        <w:pStyle w:val="Compact"/>
        <w:numPr>
          <w:ilvl w:val="0"/>
          <w:numId w:val="180"/>
        </w:numPr>
        <w:rPr/>
      </w:pPr>
      <w:r>
        <w:rPr>
          <w:b/>
          <w:bCs/>
        </w:rPr>
        <w:t>Terrain</w:t>
      </w:r>
      <w:r>
        <w:rPr/>
        <w:t xml:space="preserve"> → </w:t>
      </w:r>
      <w:r>
        <w:rPr>
          <w:rStyle w:val="VerbatimChar"/>
        </w:rPr>
        <w:t>elevation</w:t>
      </w:r>
      <w:r>
        <w:rPr/>
        <w:t xml:space="preserve">, </w:t>
      </w:r>
      <w:r>
        <w:rPr>
          <w:rStyle w:val="VerbatimChar"/>
        </w:rPr>
        <w:t>slope</w:t>
      </w:r>
      <w:r>
        <w:rPr/>
        <w:t xml:space="preserve">, </w:t>
      </w:r>
      <w:r>
        <w:rPr>
          <w:rStyle w:val="VerbatimChar"/>
        </w:rPr>
        <w:t>aspect</w:t>
      </w:r>
      <w:r>
        <w:rPr/>
        <w:t xml:space="preserve">, </w:t>
      </w:r>
      <w:r>
        <w:rPr>
          <w:rStyle w:val="VerbatimChar"/>
        </w:rPr>
        <w:t>terrain_roughness</w:t>
      </w:r>
      <w:r>
        <w:rPr/>
        <w:t xml:space="preserve">, </w:t>
      </w:r>
      <w:r>
        <w:rPr>
          <w:rStyle w:val="VerbatimChar"/>
        </w:rPr>
        <w:t>soil_drainage_class</w:t>
      </w:r>
      <w:r>
        <w:rPr/>
        <w:t>.</w:t>
      </w:r>
    </w:p>
    <w:p>
      <w:pPr>
        <w:pStyle w:val="Compact"/>
        <w:numPr>
          <w:ilvl w:val="0"/>
          <w:numId w:val="181"/>
        </w:numPr>
        <w:rPr/>
      </w:pPr>
      <w:r>
        <w:rPr>
          <w:b/>
          <w:bCs/>
        </w:rPr>
        <w:t>Flood Risk</w:t>
      </w:r>
      <w:r>
        <w:rPr/>
        <w:t xml:space="preserve"> → </w:t>
      </w:r>
      <w:r>
        <w:rPr>
          <w:rStyle w:val="VerbatimChar"/>
        </w:rPr>
        <w:t>within_flood_hazard_polygon</w:t>
      </w:r>
      <w:r>
        <w:rPr/>
        <w:t xml:space="preserve">, </w:t>
      </w:r>
      <w:r>
        <w:rPr>
          <w:rStyle w:val="VerbatimChar"/>
        </w:rPr>
        <w:t>flood_hazard_class</w:t>
      </w:r>
      <w:r>
        <w:rPr/>
        <w:t xml:space="preserve">, </w:t>
      </w:r>
      <w:r>
        <w:rPr>
          <w:rStyle w:val="VerbatimChar"/>
        </w:rPr>
        <w:t>nearest_waterbody_name</w:t>
      </w:r>
      <w:r>
        <w:rPr/>
        <w:t xml:space="preserve">, </w:t>
      </w:r>
      <w:r>
        <w:rPr>
          <w:rStyle w:val="VerbatimChar"/>
        </w:rPr>
        <w:t>nearest_waterbody_distance_m</w:t>
      </w:r>
      <w:r>
        <w:rPr/>
        <w:t xml:space="preserve">, </w:t>
      </w:r>
      <w:r>
        <w:rPr>
          <w:rStyle w:val="VerbatimChar"/>
        </w:rPr>
        <w:t>surface_water_permanence_pct</w:t>
      </w:r>
      <w:r>
        <w:rPr/>
        <w:t>.</w:t>
      </w:r>
    </w:p>
    <w:p>
      <w:pPr>
        <w:pStyle w:val="Compact"/>
        <w:numPr>
          <w:ilvl w:val="0"/>
          <w:numId w:val="182"/>
        </w:numPr>
        <w:rPr/>
      </w:pPr>
      <w:r>
        <w:rPr>
          <w:b/>
          <w:bCs/>
        </w:rPr>
        <w:t>Wildfire Underwrite</w:t>
      </w:r>
      <w:r>
        <w:rPr/>
        <w:t xml:space="preserve"> → </w:t>
      </w:r>
      <w:r>
        <w:rPr>
          <w:rStyle w:val="VerbatimChar"/>
        </w:rPr>
        <w:t>ndvi_current</w:t>
      </w:r>
      <w:r>
        <w:rPr/>
        <w:t xml:space="preserve">, </w:t>
      </w:r>
      <w:r>
        <w:rPr>
          <w:rStyle w:val="VerbatimChar"/>
        </w:rPr>
        <w:t>tree_canopy_pct</w:t>
      </w:r>
      <w:r>
        <w:rPr/>
        <w:t xml:space="preserve">, </w:t>
      </w:r>
      <w:r>
        <w:rPr>
          <w:rStyle w:val="VerbatimChar"/>
        </w:rPr>
        <w:t>active_fire_count_10km_24h</w:t>
      </w:r>
      <w:r>
        <w:rPr/>
        <w:t xml:space="preserve">, </w:t>
      </w:r>
      <w:r>
        <w:rPr>
          <w:rStyle w:val="VerbatimChar"/>
        </w:rPr>
        <w:t>aridity_index</w:t>
      </w:r>
      <w:r>
        <w:rPr/>
        <w:t>.</w:t>
      </w:r>
    </w:p>
    <w:p>
      <w:pPr>
        <w:pStyle w:val="FirstParagraph"/>
        <w:rPr/>
      </w:pPr>
      <w:bookmarkStart w:id="91" w:name="preset-system"/>
      <w:r>
        <w:rPr/>
        <w:t>The full set of presets is enumerated in the active metadata catalog.</w:t>
      </w:r>
      <w:bookmarkEnd w:id="91"/>
    </w:p>
    <w:p>
      <w:pPr>
        <w:pStyle w:val="Heading2"/>
        <w:rPr/>
      </w:pPr>
      <w:bookmarkStart w:id="92" w:name="state-registry"/>
      <w:r>
        <w:rPr>
          <w:rStyle w:val="SectionNumber"/>
        </w:rPr>
        <w:t>11.8</w:t>
      </w:r>
      <w:r>
        <w:rPr/>
        <w:tab/>
        <w:t>State Registry</w:t>
      </w:r>
    </w:p>
    <w:p>
      <w:pPr>
        <w:pStyle w:val="FirstParagraph"/>
        <w:rPr/>
      </w:pPr>
      <w:r>
        <w:rPr/>
        <w:t xml:space="preserve">The backend shall not hardcode region-specific logic. Instead, every state is registered dynamically through the State Registry. Adding a future state shall require only configuration, boundary data, and dataset registration — with no business-logic changes. The initial registered region is defined in the </w:t>
      </w:r>
      <w:r>
        <w:rPr>
          <w:i/>
          <w:iCs/>
        </w:rPr>
        <w:t>Telangana MVP</w:t>
      </w:r>
      <w:r>
        <w:rPr/>
        <w:t xml:space="preserve"> chapter.</w:t>
      </w:r>
      <w:bookmarkEnd w:id="92"/>
    </w:p>
    <w:p>
      <w:pPr>
        <w:pStyle w:val="Heading2"/>
        <w:rPr/>
      </w:pPr>
      <w:bookmarkStart w:id="93" w:name="backend-validation"/>
      <w:r>
        <w:rPr>
          <w:rStyle w:val="SectionNumber"/>
        </w:rPr>
        <w:t>11.9</w:t>
      </w:r>
      <w:r>
        <w:rPr/>
        <w:tab/>
        <w:t>Backend Validation</w:t>
      </w:r>
    </w:p>
    <w:p>
      <w:pPr>
        <w:pStyle w:val="FirstParagraph"/>
        <w:rPr/>
      </w:pPr>
      <w:bookmarkStart w:id="94" w:name="backend-validation"/>
      <w:r>
        <w:rPr/>
        <w:t>Before connector execution, the backend shall validate coordinate format, India boundary, supported state, requested fields, lifecycle status, availability, and preset validity. Invalid requests shall fail before any dataset calls.</w:t>
      </w:r>
      <w:bookmarkEnd w:id="94"/>
    </w:p>
    <w:p>
      <w:pPr>
        <w:pStyle w:val="Heading2"/>
        <w:rPr/>
      </w:pPr>
      <w:bookmarkStart w:id="95" w:name="error-handling"/>
      <w:r>
        <w:rPr>
          <w:rStyle w:val="SectionNumber"/>
        </w:rPr>
        <w:t>11.10</w:t>
      </w:r>
      <w:r>
        <w:rPr/>
        <w:tab/>
        <w:t>Error Handling</w:t>
      </w:r>
    </w:p>
    <w:p>
      <w:pPr>
        <w:pStyle w:val="FirstParagraph"/>
        <w:rPr/>
      </w:pPr>
      <w:r>
        <w:rPr/>
        <w:t xml:space="preserve">The backend shall never terminate an entire request because one dataset fails. Successful fields are returned, failed fields are omitted, a </w:t>
      </w:r>
      <w:r>
        <w:rPr>
          <w:rStyle w:val="VerbatimChar"/>
        </w:rPr>
        <w:t>partial_failures</w:t>
      </w:r>
      <w:r>
        <w:rPr/>
        <w:t xml:space="preserve"> section is included, and retry recommendations are provided.</w:t>
      </w:r>
    </w:p>
    <w:p>
      <w:pPr>
        <w:pStyle w:val="SourceCode"/>
        <w:rPr/>
      </w:pPr>
      <w:r>
        <w:rPr>
          <w:rStyle w:val="FunctionTok"/>
        </w:rPr>
        <w:t>{</w:t>
      </w:r>
      <w:r>
        <w:rPr/>
        <w:br/>
      </w:r>
      <w:r>
        <w:rPr>
          <w:rStyle w:val="NormalTok"/>
        </w:rPr>
        <w:t xml:space="preserve">  </w:t>
      </w:r>
      <w:r>
        <w:rPr>
          <w:rStyle w:val="DataTypeTok"/>
        </w:rPr>
        <w:t>"partial_failures"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"layer"</w:t>
      </w:r>
      <w:r>
        <w:rPr>
          <w:rStyle w:val="FunctionTok"/>
        </w:rPr>
        <w:t>:</w:t>
      </w:r>
      <w:r>
        <w:rPr>
          <w:rStyle w:val="NormalTok"/>
        </w:rPr>
        <w:t xml:space="preserve"> </w:t>
      </w:r>
      <w:r>
        <w:rPr>
          <w:rStyle w:val="StringTok"/>
        </w:rPr>
        <w:t>"climate"</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"IMD"</w:t>
      </w:r>
      <w:r>
        <w:rPr>
          <w:rStyle w:val="FunctionTok"/>
        </w:rPr>
        <w:t>,</w:t>
      </w:r>
      <w:r>
        <w:rPr/>
        <w:br/>
      </w:r>
      <w:r>
        <w:rPr>
          <w:rStyle w:val="NormalTok"/>
        </w:rPr>
        <w:t xml:space="preserve">      </w:t>
      </w:r>
      <w:r>
        <w:rPr>
          <w:rStyle w:val="DataTypeTok"/>
        </w:rPr>
        <w:t>"reason"</w:t>
      </w:r>
      <w:r>
        <w:rPr>
          <w:rStyle w:val="FunctionTok"/>
        </w:rPr>
        <w:t>:</w:t>
      </w:r>
      <w:r>
        <w:rPr>
          <w:rStyle w:val="NormalTok"/>
        </w:rPr>
        <w:t xml:space="preserve"> </w:t>
      </w:r>
      <w:r>
        <w:rPr>
          <w:rStyle w:val="StringTok"/>
        </w:rPr>
        <w:t>"Request Timeout"</w:t>
      </w:r>
      <w:r>
        <w:rPr>
          <w:rStyle w:val="FunctionTok"/>
        </w:rPr>
        <w:t>,</w:t>
      </w:r>
      <w:r>
        <w:rPr/>
        <w:br/>
      </w:r>
      <w:r>
        <w:rPr>
          <w:rStyle w:val="NormalTok"/>
        </w:rPr>
        <w:t xml:space="preserve">      </w:t>
      </w:r>
      <w:r>
        <w:rPr>
          <w:rStyle w:val="DataTypeTok"/>
        </w:rPr>
        <w:t>"retryable"</w:t>
      </w:r>
      <w:r>
        <w:rPr>
          <w:rStyle w:val="FunctionTok"/>
        </w:rPr>
        <w:t>:</w:t>
      </w:r>
      <w:r>
        <w:rPr>
          <w:rStyle w:val="NormalTok"/>
        </w:rPr>
        <w:t xml:space="preserve"> </w:t>
      </w:r>
      <w:r>
        <w:rPr>
          <w:rStyle w:val="KeywordTok"/>
        </w:rPr>
        <w:t>true</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bookmarkEnd w:id="95"/>
    </w:p>
    <w:p>
      <w:pPr>
        <w:pStyle w:val="Heading2"/>
        <w:rPr/>
      </w:pPr>
      <w:bookmarkStart w:id="96" w:name="backend-scalability"/>
      <w:r>
        <w:rPr>
          <w:rStyle w:val="SectionNumber"/>
        </w:rPr>
        <w:t>11.11</w:t>
      </w:r>
      <w:r>
        <w:rPr/>
        <w:tab/>
        <w:t>Backend Scalability</w:t>
      </w:r>
    </w:p>
    <w:p>
      <w:pPr>
        <w:pStyle w:val="FirstParagraph"/>
        <w:rPr/>
      </w:pPr>
      <w:bookmarkStart w:id="97" w:name="backend-architecture"/>
      <w:bookmarkStart w:id="98" w:name="backend-scalability"/>
      <w:r>
        <w:rPr/>
        <w:t>The backend is designed for nationwide expansion. Scalability requirements include stateless API servers, horizontal scaling, asynchronous connector execution, independent connector deployment, Redis distributed caching, PostgreSQL/PostGIS replication, and background processing for dataset updates. The architecture shall support gradual onboarding of all Indian States and Union Territories without changes to the Planner, Fetch Engine, API contracts, or frontend.</w:t>
      </w:r>
      <w:bookmarkEnd w:id="97"/>
      <w:bookmarkEnd w:id="98"/>
    </w:p>
    <w:p>
      <w:pPr>
        <w:pStyle w:val="Heading1"/>
        <w:rPr/>
      </w:pPr>
      <w:bookmarkStart w:id="99" w:name="frontend-architecture"/>
      <w:r>
        <w:rPr>
          <w:rStyle w:val="SectionNumber"/>
        </w:rPr>
        <w:t>12</w:t>
      </w:r>
      <w:r>
        <w:rPr/>
        <w:tab/>
        <w:t>Frontend Architecture</w:t>
      </w:r>
    </w:p>
    <w:p>
      <w:pPr>
        <w:pStyle w:val="FirstParagraph"/>
        <w:rPr/>
      </w:pPr>
      <w:r>
        <w:rPr/>
        <w:t>The Prism Earth Frontend is the primary user interface of the platform and serves as the interaction layer between users and the geospatial intelligence engine. It provides an intuitive, responsive, and enterprise-grade experience for querying, visualizing, and understanding geospatial intelligence while maintaining complete transparency through provenance tracking and source citations.</w:t>
      </w:r>
    </w:p>
    <w:p>
      <w:pPr>
        <w:pStyle w:val="BodyText"/>
        <w:rPr/>
      </w:pPr>
      <w:r>
        <w:rPr/>
        <w:t>The frontend is not merely a map viewer. It functions as an intelligent geospatial workspace that allows users to ask natural language questions, retrieve deterministic geospatial data, inspect AI execution, view complete provenance, explore raw API responses, understand dataset limitations, and validate every returned value. The frontend shall consume only the public REST APIs exposed by the backend and shall contain no embedded business logic.</w:t>
      </w:r>
    </w:p>
    <w:p>
      <w:pPr>
        <w:pStyle w:val="Heading2"/>
        <w:rPr/>
      </w:pPr>
      <w:bookmarkStart w:id="100" w:name="objectives-1"/>
      <w:r>
        <w:rPr>
          <w:rStyle w:val="SectionNumber"/>
        </w:rPr>
        <w:t>12.1</w:t>
      </w:r>
      <w:r>
        <w:rPr/>
        <w:tab/>
        <w:t>Objectives</w:t>
      </w:r>
    </w:p>
    <w:p>
      <w:pPr>
        <w:pStyle w:val="FirstParagraph"/>
        <w:rPr/>
      </w:pPr>
      <w:bookmarkStart w:id="101" w:name="objectives-1"/>
      <w:r>
        <w:rPr/>
        <w:t>The frontend architecture shall provide a modern and responsive user experience, support natural language interaction, visualize geospatial intelligence clearly, display deterministic API responses, present complete citation and provenance information, support execution trace visualization, provide accessibility-compliant interfaces, remain modular and reusable, and enable future feature expansion without redesign.</w:t>
      </w:r>
      <w:bookmarkEnd w:id="101"/>
    </w:p>
    <w:p>
      <w:pPr>
        <w:pStyle w:val="Heading2"/>
        <w:rPr/>
      </w:pPr>
      <w:bookmarkStart w:id="102" w:name="architectural-principles-1"/>
      <w:r>
        <w:rPr>
          <w:rStyle w:val="SectionNumber"/>
        </w:rPr>
        <w:t>12.2</w:t>
      </w:r>
      <w:r>
        <w:rPr/>
        <w:tab/>
        <w:t>Architectural Principles</w:t>
      </w:r>
    </w:p>
    <w:p>
      <w:pPr>
        <w:pStyle w:val="FirstParagraph"/>
        <w:rPr/>
      </w:pPr>
      <w:r>
        <w:rPr>
          <w:b/>
          <w:bCs/>
        </w:rPr>
        <w:t>Component-Driven Development</w:t>
      </w:r>
      <w:r>
        <w:rPr/>
        <w:t xml:space="preserve"> — every UI element shall be an independent reusable component (Coordinate Input, Question Editor, Citation Card, Provenance Table, Execution Timeline, Dataset Badge, Result Summary, Map Viewer, JSON Viewer).</w:t>
      </w:r>
    </w:p>
    <w:p>
      <w:pPr>
        <w:pStyle w:val="BodyText"/>
        <w:rPr/>
      </w:pPr>
      <w:r>
        <w:rPr>
          <w:b/>
          <w:bCs/>
        </w:rPr>
        <w:t>Feature-Based Organization</w:t>
      </w:r>
      <w:r>
        <w:rPr/>
        <w:t xml:space="preserve"> — the application shall be organized around business features rather than pages (Ask, Fetch, Dataset Explorer, Planner Viewer, Settings, Documentation).</w:t>
      </w:r>
    </w:p>
    <w:p>
      <w:pPr>
        <w:pStyle w:val="BodyText"/>
        <w:rPr/>
      </w:pPr>
      <w:r>
        <w:rPr>
          <w:b/>
          <w:bCs/>
        </w:rPr>
        <w:t>API-First Architecture</w:t>
      </w:r>
      <w:r>
        <w:rPr/>
        <w:t xml:space="preserve"> — the frontend shall never directly access datasets; all communication shall occur through backend APIs.</w:t>
      </w:r>
    </w:p>
    <w:p>
      <w:pPr>
        <w:pStyle w:val="BodyText"/>
        <w:rPr/>
      </w:pPr>
      <w:r>
        <w:rPr>
          <w:b/>
          <w:bCs/>
        </w:rPr>
        <w:t>Separation of Concerns</w:t>
      </w:r>
      <w:r>
        <w:rPr/>
        <w:t xml:space="preserve"> — the frontend shall separate presentation, business state, API communication, UI state, and shared components. No business logic shall exist inside UI components.</w:t>
      </w:r>
    </w:p>
    <w:p>
      <w:pPr>
        <w:pStyle w:val="BodyText"/>
        <w:rPr/>
      </w:pPr>
      <w:r>
        <w:rPr>
          <w:b/>
          <w:bCs/>
        </w:rPr>
        <w:t>Strong Typing</w:t>
      </w:r>
      <w:r>
        <w:rPr/>
        <w:t xml:space="preserve"> — the application shall use TypeScript in strict mode; no </w:t>
      </w:r>
      <w:r>
        <w:rPr>
          <w:rStyle w:val="VerbatimChar"/>
        </w:rPr>
        <w:t>any</w:t>
      </w:r>
      <w:r>
        <w:rPr/>
        <w:t xml:space="preserve"> types shall be permitted.</w:t>
      </w:r>
      <w:bookmarkEnd w:id="102"/>
    </w:p>
    <w:p>
      <w:pPr>
        <w:pStyle w:val="Heading2"/>
        <w:rPr/>
      </w:pPr>
      <w:bookmarkStart w:id="103" w:name="frontend-layers"/>
      <w:r>
        <w:rPr>
          <w:rStyle w:val="SectionNumber"/>
        </w:rPr>
        <w:t>12.3</w:t>
      </w:r>
      <w:r>
        <w:rPr/>
        <w:tab/>
        <w:t>Frontend Layers</w:t>
      </w:r>
    </w:p>
    <w:p>
      <w:pPr>
        <w:pStyle w:val="FirstParagraph"/>
        <w:rPr/>
      </w:pPr>
      <w:r>
        <w:rPr>
          <w:b/>
          <w:bCs/>
        </w:rPr>
        <w:t>Presentation Layer</w:t>
      </w:r>
      <w:r>
        <w:rPr/>
        <w:t xml:space="preserve"> — pages, layouts, navigation, visual components, responsive design.</w:t>
      </w:r>
    </w:p>
    <w:p>
      <w:pPr>
        <w:pStyle w:val="BodyText"/>
        <w:rPr/>
      </w:pPr>
      <w:r>
        <w:rPr>
          <w:b/>
          <w:bCs/>
        </w:rPr>
        <w:t>Feature Layer</w:t>
      </w:r>
      <w:r>
        <w:rPr/>
        <w:t xml:space="preserve"> — implements independent application features (Ask, Fetch, Metadata Explorer, Planner Viewer, Dataset Browser).</w:t>
      </w:r>
    </w:p>
    <w:p>
      <w:pPr>
        <w:pStyle w:val="BodyText"/>
        <w:rPr/>
      </w:pPr>
      <w:r>
        <w:rPr>
          <w:b/>
          <w:bCs/>
        </w:rPr>
        <w:t>Service Layer</w:t>
      </w:r>
      <w:r>
        <w:rPr/>
        <w:t xml:space="preserve"> — HTTP communication, request retries, authentication, error handling, response parsing. No UI component shall directly invoke REST endpoints.</w:t>
      </w:r>
    </w:p>
    <w:p>
      <w:pPr>
        <w:pStyle w:val="BodyText"/>
        <w:rPr/>
      </w:pPr>
      <w:r>
        <w:rPr>
          <w:b/>
          <w:bCs/>
        </w:rPr>
        <w:t>State Layer</w:t>
      </w:r>
      <w:r>
        <w:rPr/>
        <w:t xml:space="preserve"> — session state, query state, cached responses, UI preferences, theme.</w:t>
      </w:r>
    </w:p>
    <w:p>
      <w:pPr>
        <w:pStyle w:val="BodyText"/>
        <w:rPr/>
      </w:pPr>
      <w:r>
        <w:rPr>
          <w:b/>
          <w:bCs/>
        </w:rPr>
        <w:t>Shared Layer</w:t>
      </w:r>
      <w:r>
        <w:rPr/>
        <w:t xml:space="preserve"> — UI components, icons, typography, utility functions, constants, type definitions.</w:t>
      </w:r>
      <w:bookmarkEnd w:id="103"/>
    </w:p>
    <w:p>
      <w:pPr>
        <w:pStyle w:val="Heading2"/>
        <w:rPr/>
      </w:pPr>
      <w:bookmarkStart w:id="104" w:name="application-pages"/>
      <w:r>
        <w:rPr>
          <w:rStyle w:val="SectionNumber"/>
        </w:rPr>
        <w:t>12.4</w:t>
      </w:r>
      <w:r>
        <w:rPr/>
        <w:tab/>
        <w:t>Application Pages</w:t>
      </w:r>
    </w:p>
    <w:p>
      <w:pPr>
        <w:pStyle w:val="FirstParagraph"/>
        <w:rPr/>
      </w:pPr>
      <w:r>
        <w:rPr>
          <w:b/>
          <w:bCs/>
        </w:rPr>
        <w:t>Home</w:t>
      </w:r>
      <w:r>
        <w:rPr/>
        <w:t xml:space="preserve"> — landing page introducing Prism Earth (hero section, platform overview, query interface, feature highlights).</w:t>
      </w:r>
    </w:p>
    <w:p>
      <w:pPr>
        <w:pStyle w:val="BodyText"/>
        <w:rPr/>
      </w:pPr>
      <w:r>
        <w:rPr>
          <w:b/>
          <w:bCs/>
        </w:rPr>
        <w:t>Ask</w:t>
      </w:r>
      <w:r>
        <w:rPr/>
        <w:t xml:space="preserve"> — primary AI interface (natural language question input, coordinate selector, response viewer, citation panel, execution timeline).</w:t>
      </w:r>
    </w:p>
    <w:p>
      <w:pPr>
        <w:pStyle w:val="BodyText"/>
        <w:rPr/>
      </w:pPr>
      <w:r>
        <w:rPr>
          <w:b/>
          <w:bCs/>
        </w:rPr>
        <w:t>Fetch</w:t>
      </w:r>
      <w:r>
        <w:rPr/>
        <w:t xml:space="preserve"> — developer-oriented deterministic interface allowing direct retrieval of catalog fields; displays raw JSON, provenance, partial failures, and dataset metadata.</w:t>
      </w:r>
    </w:p>
    <w:p>
      <w:pPr>
        <w:pStyle w:val="BodyText"/>
        <w:rPr/>
      </w:pPr>
      <w:r>
        <w:rPr>
          <w:b/>
          <w:bCs/>
        </w:rPr>
        <w:t>Metadata Explorer</w:t>
      </w:r>
      <w:r>
        <w:rPr/>
        <w:t xml:space="preserve"> — displays the active metadata catalog. Users can browse all fields, layers, and presets, filtered by Stable, Beta, and Planned lifecycle states.</w:t>
      </w:r>
    </w:p>
    <w:p>
      <w:pPr>
        <w:pStyle w:val="BodyText"/>
        <w:rPr/>
      </w:pPr>
      <w:r>
        <w:rPr>
          <w:b/>
          <w:bCs/>
        </w:rPr>
        <w:t>Documentation</w:t>
      </w:r>
      <w:r>
        <w:rPr/>
        <w:t xml:space="preserve"> — interactive API documentation including examples, dataset descriptions, source information, and version history.</w:t>
      </w:r>
    </w:p>
    <w:p>
      <w:pPr>
        <w:pStyle w:val="BodyText"/>
        <w:rPr/>
      </w:pPr>
      <w:r>
        <w:rPr>
          <w:b/>
          <w:bCs/>
        </w:rPr>
        <w:t>Settings</w:t>
      </w:r>
      <w:r>
        <w:rPr/>
        <w:t xml:space="preserve"> — configuration of theme, units, coordinate precision, trace visibility, and developer mode.</w:t>
      </w:r>
      <w:bookmarkEnd w:id="104"/>
    </w:p>
    <w:p>
      <w:pPr>
        <w:pStyle w:val="Heading2"/>
        <w:rPr/>
      </w:pPr>
      <w:bookmarkStart w:id="105" w:name="core-components"/>
      <w:r>
        <w:rPr>
          <w:rStyle w:val="SectionNumber"/>
        </w:rPr>
        <w:t>12.5</w:t>
      </w:r>
      <w:r>
        <w:rPr/>
        <w:tab/>
        <w:t>Core Components</w:t>
      </w:r>
    </w:p>
    <w:p>
      <w:pPr>
        <w:pStyle w:val="FirstParagraph"/>
        <w:rPr/>
      </w:pPr>
      <w:r>
        <w:rPr>
          <w:b/>
          <w:bCs/>
        </w:rPr>
        <w:t>Coordinate Input</w:t>
      </w:r>
      <w:r>
        <w:rPr/>
        <w:t xml:space="preserve"> — latitude, longitude, validation, copy/paste, current location (future).</w:t>
      </w:r>
    </w:p>
    <w:p>
      <w:pPr>
        <w:pStyle w:val="BodyText"/>
        <w:rPr/>
      </w:pPr>
      <w:r>
        <w:rPr>
          <w:b/>
          <w:bCs/>
        </w:rPr>
        <w:t>Question Editor</w:t>
      </w:r>
      <w:r>
        <w:rPr/>
        <w:t xml:space="preserve"> — large multiline editor supporting natural language questions (e.g. “What is the flood risk at this location?”).</w:t>
      </w:r>
    </w:p>
    <w:p>
      <w:pPr>
        <w:pStyle w:val="BodyText"/>
        <w:rPr/>
      </w:pPr>
      <w:r>
        <w:rPr>
          <w:b/>
          <w:bCs/>
        </w:rPr>
        <w:t>Ask Button</w:t>
      </w:r>
      <w:r>
        <w:rPr/>
        <w:t xml:space="preserve"> — triggers the Planner → Fetch → Synthesizer workflow and displays a loading state while processing.</w:t>
      </w:r>
    </w:p>
    <w:p>
      <w:pPr>
        <w:pStyle w:val="BodyText"/>
        <w:rPr/>
      </w:pPr>
      <w:r>
        <w:rPr>
          <w:b/>
          <w:bCs/>
        </w:rPr>
        <w:t>Fetch Button</w:t>
      </w:r>
      <w:r>
        <w:rPr/>
        <w:t xml:space="preserve"> — executes deterministic field retrieval.</w:t>
      </w:r>
    </w:p>
    <w:p>
      <w:pPr>
        <w:pStyle w:val="BodyText"/>
        <w:rPr/>
      </w:pPr>
      <w:r>
        <w:rPr>
          <w:b/>
          <w:bCs/>
        </w:rPr>
        <w:t>Clear Button</w:t>
      </w:r>
      <w:r>
        <w:rPr/>
        <w:t xml:space="preserve"> — resets question, coordinates, results, and execution trace.</w:t>
      </w:r>
    </w:p>
    <w:p>
      <w:pPr>
        <w:pStyle w:val="BodyText"/>
        <w:rPr/>
      </w:pPr>
      <w:r>
        <w:rPr>
          <w:b/>
          <w:bCs/>
        </w:rPr>
        <w:t>Result Card</w:t>
      </w:r>
      <w:r>
        <w:rPr/>
        <w:t xml:space="preserve"> — displays final answer, confidence, summary, and citations.</w:t>
      </w:r>
    </w:p>
    <w:p>
      <w:pPr>
        <w:pStyle w:val="BodyText"/>
        <w:rPr/>
      </w:pPr>
      <w:r>
        <w:rPr>
          <w:b/>
          <w:bCs/>
        </w:rPr>
        <w:t>Citation Card</w:t>
      </w:r>
      <w:r>
        <w:rPr/>
        <w:t xml:space="preserve"> — displays dataset name, source, source URL, dataset version, fetch timestamp, and confidence.</w:t>
      </w:r>
    </w:p>
    <w:p>
      <w:pPr>
        <w:pStyle w:val="BodyText"/>
        <w:rPr/>
      </w:pPr>
      <w:r>
        <w:rPr>
          <w:b/>
          <w:bCs/>
        </w:rPr>
        <w:t>Provenance Table</w:t>
      </w:r>
      <w:r>
        <w:rPr/>
        <w:t xml:space="preserve"> — displays dataset, source URL, retrieval timestamp, TTL, and confidence for each value.</w:t>
      </w:r>
    </w:p>
    <w:p>
      <w:pPr>
        <w:pStyle w:val="BodyText"/>
        <w:rPr/>
      </w:pPr>
      <w:r>
        <w:rPr>
          <w:b/>
          <w:bCs/>
        </w:rPr>
        <w:t>Raw JSON Viewer</w:t>
      </w:r>
      <w:r>
        <w:rPr/>
        <w:t xml:space="preserve"> — displays the complete backend response with collapse, expand, copy, and download.</w:t>
      </w:r>
      <w:bookmarkEnd w:id="105"/>
    </w:p>
    <w:p>
      <w:pPr>
        <w:pStyle w:val="Heading2"/>
        <w:rPr/>
      </w:pPr>
      <w:bookmarkStart w:id="106" w:name="planner-visualization"/>
      <w:r>
        <w:rPr>
          <w:rStyle w:val="SectionNumber"/>
        </w:rPr>
        <w:t>12.6</w:t>
      </w:r>
      <w:r>
        <w:rPr/>
        <w:tab/>
        <w:t>Planner Visualization</w:t>
      </w:r>
    </w:p>
    <w:p>
      <w:pPr>
        <w:pStyle w:val="FirstParagraph"/>
        <w:rPr/>
      </w:pPr>
      <w:bookmarkStart w:id="107" w:name="planner-visualization"/>
      <w:r>
        <w:rPr/>
        <w:t>The frontend shall visualize Planner output, including selected fields, selected presets, a reasoning summary, and the execution plan.</w:t>
      </w:r>
      <w:bookmarkEnd w:id="107"/>
    </w:p>
    <w:p>
      <w:pPr>
        <w:pStyle w:val="Heading2"/>
        <w:rPr/>
      </w:pPr>
      <w:bookmarkStart w:id="108" w:name="fetch-visualization"/>
      <w:r>
        <w:rPr>
          <w:rStyle w:val="SectionNumber"/>
        </w:rPr>
        <w:t>12.7</w:t>
      </w:r>
      <w:r>
        <w:rPr/>
        <w:tab/>
        <w:t>Fetch Visualization</w:t>
      </w:r>
    </w:p>
    <w:p>
      <w:pPr>
        <w:pStyle w:val="FirstParagraph"/>
        <w:rPr/>
      </w:pPr>
      <w:bookmarkStart w:id="109" w:name="fetch-visualization"/>
      <w:r>
        <w:rPr/>
        <w:t>The frontend shall display connector execution status and per-connector timing (for example, Terrain, Climate, and Flood connectors completing with their individual latencies).</w:t>
      </w:r>
      <w:bookmarkEnd w:id="109"/>
    </w:p>
    <w:p>
      <w:pPr>
        <w:pStyle w:val="Heading2"/>
        <w:rPr/>
      </w:pPr>
      <w:bookmarkStart w:id="110" w:name="dataset-explorer"/>
      <w:r>
        <w:rPr>
          <w:rStyle w:val="SectionNumber"/>
        </w:rPr>
        <w:t>12.8</w:t>
      </w:r>
      <w:r>
        <w:rPr/>
        <w:tab/>
        <w:t>Dataset Explorer</w:t>
      </w:r>
    </w:p>
    <w:p>
      <w:pPr>
        <w:pStyle w:val="FirstParagraph"/>
        <w:rPr/>
      </w:pPr>
      <w:bookmarkStart w:id="111" w:name="dataset-explorer"/>
      <w:r>
        <w:rPr/>
        <w:t>Users can explore every field. Each field displays name, description, layer, lifecycle, availability, unit, source, source URL, interpretation hint, presets, nullable flag, and null meaning.</w:t>
      </w:r>
      <w:bookmarkEnd w:id="111"/>
    </w:p>
    <w:p>
      <w:pPr>
        <w:pStyle w:val="Heading2"/>
        <w:rPr/>
      </w:pPr>
      <w:bookmarkStart w:id="112" w:name="lifecycle-visualization"/>
      <w:r>
        <w:rPr>
          <w:rStyle w:val="SectionNumber"/>
        </w:rPr>
        <w:t>12.9</w:t>
      </w:r>
      <w:r>
        <w:rPr/>
        <w:tab/>
        <w:t>Lifecycle Visualization</w:t>
      </w:r>
    </w:p>
    <w:p>
      <w:pPr>
        <w:pStyle w:val="FirstParagraph"/>
        <w:rPr/>
      </w:pPr>
      <w:bookmarkStart w:id="113" w:name="lifecycle-visualization"/>
      <w:r>
        <w:rPr/>
        <w:t>Every field shall display a lifecycle badge: Stable (green), Beta (orange), Planned (gray). Unavailable planned fields shall be disabled.</w:t>
      </w:r>
      <w:bookmarkEnd w:id="113"/>
    </w:p>
    <w:p>
      <w:pPr>
        <w:pStyle w:val="Heading2"/>
        <w:rPr/>
      </w:pPr>
      <w:bookmarkStart w:id="114" w:name="layer-visualization"/>
      <w:r>
        <w:rPr>
          <w:rStyle w:val="SectionNumber"/>
        </w:rPr>
        <w:t>12.10</w:t>
      </w:r>
      <w:r>
        <w:rPr/>
        <w:tab/>
        <w:t>Layer Visualization</w:t>
      </w:r>
    </w:p>
    <w:p>
      <w:pPr>
        <w:pStyle w:val="FirstParagraph"/>
        <w:rPr/>
      </w:pPr>
      <w:bookmarkStart w:id="115" w:name="layer-visualization"/>
      <w:r>
        <w:rPr/>
        <w:t>The frontend shall organize fields into the seven supported layers (Terrain, Climate, Land Cover, Natural Hazard, Infrastructure, Administrative, Cadastral). Each layer shall have dedicated icons and color coding.</w:t>
      </w:r>
      <w:bookmarkEnd w:id="115"/>
    </w:p>
    <w:p>
      <w:pPr>
        <w:pStyle w:val="Heading2"/>
        <w:rPr/>
      </w:pPr>
      <w:bookmarkStart w:id="116" w:name="preset-explorer"/>
      <w:r>
        <w:rPr>
          <w:rStyle w:val="SectionNumber"/>
        </w:rPr>
        <w:t>12.11</w:t>
      </w:r>
      <w:r>
        <w:rPr/>
        <w:tab/>
        <w:t>Preset Explorer</w:t>
      </w:r>
    </w:p>
    <w:p>
      <w:pPr>
        <w:pStyle w:val="FirstParagraph"/>
        <w:rPr/>
      </w:pPr>
      <w:bookmarkStart w:id="117" w:name="preset-explorer"/>
      <w:r>
        <w:rPr/>
        <w:t>Users shall browse the available presets. Selecting a preset shall automatically populate the corresponding fields.</w:t>
      </w:r>
      <w:bookmarkEnd w:id="117"/>
    </w:p>
    <w:p>
      <w:pPr>
        <w:pStyle w:val="Heading2"/>
        <w:rPr/>
      </w:pPr>
      <w:bookmarkStart w:id="118" w:name="regional-availability"/>
      <w:r>
        <w:rPr>
          <w:rStyle w:val="SectionNumber"/>
        </w:rPr>
        <w:t>12.12</w:t>
      </w:r>
      <w:r>
        <w:rPr/>
        <w:tab/>
        <w:t>Regional Availability</w:t>
      </w:r>
    </w:p>
    <w:p>
      <w:pPr>
        <w:pStyle w:val="FirstParagraph"/>
        <w:rPr/>
      </w:pPr>
      <w:r>
        <w:rPr/>
        <w:t xml:space="preserve">The frontend shall adapt to the active region without hardcoding any specific state. It shall detect the supported region for a coordinate, display a clear region/availability badge, enable region-gated fields (such as cadastral data) only where coverage exists, hide unavailable region-specific features outside coverage, and clearly indicate when a feature is planned for a future state. The specific pilot region and its coverage are defined in the </w:t>
      </w:r>
      <w:r>
        <w:rPr>
          <w:i/>
          <w:iCs/>
        </w:rPr>
        <w:t>Telangana MVP</w:t>
      </w:r>
      <w:r>
        <w:rPr/>
        <w:t xml:space="preserve"> chapter.</w:t>
      </w:r>
      <w:bookmarkEnd w:id="118"/>
    </w:p>
    <w:p>
      <w:pPr>
        <w:pStyle w:val="Heading2"/>
        <w:rPr/>
      </w:pPr>
      <w:bookmarkStart w:id="119" w:name="error-handling-1"/>
      <w:r>
        <w:rPr>
          <w:rStyle w:val="SectionNumber"/>
        </w:rPr>
        <w:t>12.13</w:t>
      </w:r>
      <w:r>
        <w:rPr/>
        <w:tab/>
        <w:t>Error Handling</w:t>
      </w:r>
    </w:p>
    <w:p>
      <w:pPr>
        <w:pStyle w:val="FirstParagraph"/>
        <w:rPr/>
      </w:pPr>
      <w:bookmarkStart w:id="120" w:name="error-handling-1"/>
      <w:r>
        <w:rPr/>
        <w:t>The frontend shall distinguish between validation errors (e.g. invalid latitude), dataset errors (e.g. flood dataset unavailable), partial failures (e.g. one upstream API times out while others complete), and system errors (unexpected backend failures).</w:t>
      </w:r>
      <w:bookmarkEnd w:id="120"/>
    </w:p>
    <w:p>
      <w:pPr>
        <w:pStyle w:val="Heading2"/>
        <w:rPr/>
      </w:pPr>
      <w:bookmarkStart w:id="121" w:name="loading-states"/>
      <w:r>
        <w:rPr>
          <w:rStyle w:val="SectionNumber"/>
        </w:rPr>
        <w:t>12.14</w:t>
      </w:r>
      <w:r>
        <w:rPr/>
        <w:tab/>
        <w:t>Loading States</w:t>
      </w:r>
    </w:p>
    <w:p>
      <w:pPr>
        <w:pStyle w:val="FirstParagraph"/>
        <w:rPr/>
      </w:pPr>
      <w:bookmarkStart w:id="122" w:name="loading-states"/>
      <w:r>
        <w:rPr/>
        <w:t>The UI shall provide feedback for all asynchronous operations through skeleton screens, progress indicators, connector execution status, Planner progress, and Fetch progress.</w:t>
      </w:r>
      <w:bookmarkEnd w:id="122"/>
    </w:p>
    <w:p>
      <w:pPr>
        <w:pStyle w:val="Heading2"/>
        <w:rPr/>
      </w:pPr>
      <w:bookmarkStart w:id="123" w:name="responsive-design"/>
      <w:r>
        <w:rPr>
          <w:rStyle w:val="SectionNumber"/>
        </w:rPr>
        <w:t>12.15</w:t>
      </w:r>
      <w:r>
        <w:rPr/>
        <w:tab/>
        <w:t>Responsive Design</w:t>
      </w:r>
    </w:p>
    <w:p>
      <w:pPr>
        <w:pStyle w:val="FirstParagraph"/>
        <w:rPr/>
      </w:pPr>
      <w:bookmarkStart w:id="124" w:name="responsive-design"/>
      <w:r>
        <w:rPr/>
        <w:t>The application shall support desktop, tablet, mobile, and large screens. No functionality shall be restricted based on device type.</w:t>
      </w:r>
      <w:bookmarkEnd w:id="124"/>
    </w:p>
    <w:p>
      <w:pPr>
        <w:pStyle w:val="Heading2"/>
        <w:rPr/>
      </w:pPr>
      <w:bookmarkStart w:id="125" w:name="accessibility"/>
      <w:r>
        <w:rPr>
          <w:rStyle w:val="SectionNumber"/>
        </w:rPr>
        <w:t>12.16</w:t>
      </w:r>
      <w:r>
        <w:rPr/>
        <w:tab/>
        <w:t>Accessibility</w:t>
      </w:r>
    </w:p>
    <w:p>
      <w:pPr>
        <w:pStyle w:val="FirstParagraph"/>
        <w:rPr/>
      </w:pPr>
      <w:bookmarkStart w:id="126" w:name="accessibility"/>
      <w:r>
        <w:rPr/>
        <w:t>The frontend shall comply with WCAG 2.1 AA standards, including keyboard navigation, screen reader compatibility, semantic HTML, focus indicators, high contrast mode, and accessible form labels.</w:t>
      </w:r>
      <w:bookmarkEnd w:id="126"/>
    </w:p>
    <w:p>
      <w:pPr>
        <w:pStyle w:val="Heading2"/>
        <w:rPr/>
      </w:pPr>
      <w:bookmarkStart w:id="127" w:name="performance-requirements"/>
      <w:r>
        <w:rPr>
          <w:rStyle w:val="SectionNumber"/>
        </w:rPr>
        <w:t>12.17</w:t>
      </w:r>
      <w:r>
        <w:rPr/>
        <w:tab/>
        <w:t>Performance Requirements</w:t>
      </w:r>
    </w:p>
    <w:p>
      <w:pPr>
        <w:pStyle w:val="FirstParagraph"/>
        <w:rPr/>
      </w:pPr>
      <w:bookmarkStart w:id="128" w:name="performance-requirements"/>
      <w:r>
        <w:rPr/>
        <w:t>The frontend shall lazy-load feature modules, cache the metadata catalog, minimize API requests, support route-based code splitting, optimize rendering using memoization, and virtualize large datasets where appropriate.</w:t>
      </w:r>
      <w:bookmarkEnd w:id="128"/>
    </w:p>
    <w:p>
      <w:pPr>
        <w:pStyle w:val="Heading2"/>
        <w:rPr/>
      </w:pPr>
      <w:bookmarkStart w:id="129" w:name="state-management"/>
      <w:r>
        <w:rPr>
          <w:rStyle w:val="SectionNumber"/>
        </w:rPr>
        <w:t>12.18</w:t>
      </w:r>
      <w:r>
        <w:rPr/>
        <w:tab/>
        <w:t>State Management</w:t>
      </w:r>
    </w:p>
    <w:p>
      <w:pPr>
        <w:pStyle w:val="FirstParagraph"/>
        <w:rPr/>
      </w:pPr>
      <w:r>
        <w:rPr/>
        <w:t xml:space="preserve">The application shall manage four categories of state: </w:t>
      </w:r>
      <w:r>
        <w:rPr>
          <w:b/>
          <w:bCs/>
        </w:rPr>
        <w:t>UI State</w:t>
      </w:r>
      <w:r>
        <w:rPr/>
        <w:t xml:space="preserve"> (theme, dialogs, sidebar, layout), </w:t>
      </w:r>
      <w:r>
        <w:rPr>
          <w:b/>
          <w:bCs/>
        </w:rPr>
        <w:t>Query State</w:t>
      </w:r>
      <w:r>
        <w:rPr/>
        <w:t xml:space="preserve"> (coordinates, question, selected preset, selected fields), </w:t>
      </w:r>
      <w:r>
        <w:rPr>
          <w:b/>
          <w:bCs/>
        </w:rPr>
        <w:t>API State</w:t>
      </w:r>
      <w:r>
        <w:rPr/>
        <w:t xml:space="preserve"> (responses, loading, errors, retries), and </w:t>
      </w:r>
      <w:r>
        <w:rPr>
          <w:b/>
          <w:bCs/>
        </w:rPr>
        <w:t>Session State</w:t>
      </w:r>
      <w:r>
        <w:rPr/>
        <w:t xml:space="preserve"> (user preferences, recent queries, cached metadata, execution history).</w:t>
      </w:r>
      <w:bookmarkEnd w:id="129"/>
    </w:p>
    <w:p>
      <w:pPr>
        <w:pStyle w:val="Heading2"/>
        <w:rPr/>
      </w:pPr>
      <w:bookmarkStart w:id="130" w:name="folder-structure"/>
      <w:r>
        <w:rPr>
          <w:rStyle w:val="SectionNumber"/>
        </w:rPr>
        <w:t>12.19</w:t>
      </w:r>
      <w:r>
        <w:rPr/>
        <w:tab/>
        <w:t>Folder Structure</w:t>
      </w:r>
    </w:p>
    <w:p>
      <w:pPr>
        <w:pStyle w:val="SourceCode"/>
        <w:rPr/>
      </w:pPr>
      <w:r>
        <w:rPr>
          <w:rStyle w:val="VerbatimChar"/>
        </w:rPr>
        <w:t>frontend/</w:t>
      </w:r>
      <w:r>
        <w:rPr/>
        <w:br/>
      </w:r>
      <w:r>
        <w:rPr>
          <w:rStyle w:val="VerbatimChar"/>
        </w:rPr>
        <w:t>├── app/</w:t>
      </w:r>
      <w:r>
        <w:rPr/>
        <w:br/>
      </w:r>
      <w:r>
        <w:rPr>
          <w:rStyle w:val="VerbatimChar"/>
        </w:rPr>
        <w:t>├── components/</w:t>
      </w:r>
      <w:r>
        <w:rPr/>
        <w:br/>
      </w:r>
      <w:r>
        <w:rPr>
          <w:rStyle w:val="VerbatimChar"/>
        </w:rPr>
        <w:t>│   ├── common/</w:t>
      </w:r>
      <w:r>
        <w:rPr/>
        <w:br/>
      </w:r>
      <w:r>
        <w:rPr>
          <w:rStyle w:val="VerbatimChar"/>
        </w:rPr>
        <w:t>│   ├── forms/</w:t>
      </w:r>
      <w:r>
        <w:rPr/>
        <w:br/>
      </w:r>
      <w:r>
        <w:rPr>
          <w:rStyle w:val="VerbatimChar"/>
        </w:rPr>
        <w:t>│   ├── maps/</w:t>
      </w:r>
      <w:r>
        <w:rPr/>
        <w:br/>
      </w:r>
      <w:r>
        <w:rPr>
          <w:rStyle w:val="VerbatimChar"/>
        </w:rPr>
        <w:t>│   ├── results/</w:t>
      </w:r>
      <w:r>
        <w:rPr/>
        <w:br/>
      </w:r>
      <w:r>
        <w:rPr>
          <w:rStyle w:val="VerbatimChar"/>
        </w:rPr>
        <w:t>│   ├── citations/</w:t>
      </w:r>
      <w:r>
        <w:rPr/>
        <w:br/>
      </w:r>
      <w:r>
        <w:rPr>
          <w:rStyle w:val="VerbatimChar"/>
        </w:rPr>
        <w:t>│   ├── planner/</w:t>
      </w:r>
      <w:r>
        <w:rPr/>
        <w:br/>
      </w:r>
      <w:r>
        <w:rPr>
          <w:rStyle w:val="VerbatimChar"/>
        </w:rPr>
        <w:t>│   ├── fetch/</w:t>
      </w:r>
      <w:r>
        <w:rPr/>
        <w:br/>
      </w:r>
      <w:r>
        <w:rPr>
          <w:rStyle w:val="VerbatimChar"/>
        </w:rPr>
        <w:t>│   ├── metadata/</w:t>
      </w:r>
      <w:r>
        <w:rPr/>
        <w:br/>
      </w:r>
      <w:r>
        <w:rPr>
          <w:rStyle w:val="VerbatimChar"/>
        </w:rPr>
        <w:t>│   └── layout/</w:t>
      </w:r>
      <w:r>
        <w:rPr/>
        <w:br/>
      </w:r>
      <w:r>
        <w:rPr>
          <w:rStyle w:val="VerbatimChar"/>
        </w:rPr>
        <w:t>├── features/</w:t>
      </w:r>
      <w:r>
        <w:rPr/>
        <w:br/>
      </w:r>
      <w:r>
        <w:rPr>
          <w:rStyle w:val="VerbatimChar"/>
        </w:rPr>
        <w:t>│   ├── ask/</w:t>
      </w:r>
      <w:r>
        <w:rPr/>
        <w:br/>
      </w:r>
      <w:r>
        <w:rPr>
          <w:rStyle w:val="VerbatimChar"/>
        </w:rPr>
        <w:t>│   ├── fetch/</w:t>
      </w:r>
      <w:r>
        <w:rPr/>
        <w:br/>
      </w:r>
      <w:r>
        <w:rPr>
          <w:rStyle w:val="VerbatimChar"/>
        </w:rPr>
        <w:t>│   ├── datasets/</w:t>
      </w:r>
      <w:r>
        <w:rPr/>
        <w:br/>
      </w:r>
      <w:r>
        <w:rPr>
          <w:rStyle w:val="VerbatimChar"/>
        </w:rPr>
        <w:t>│   ├── planner/</w:t>
      </w:r>
      <w:r>
        <w:rPr/>
        <w:br/>
      </w:r>
      <w:r>
        <w:rPr>
          <w:rStyle w:val="VerbatimChar"/>
        </w:rPr>
        <w:t>│   ├── settings/</w:t>
      </w:r>
      <w:r>
        <w:rPr/>
        <w:br/>
      </w:r>
      <w:r>
        <w:rPr>
          <w:rStyle w:val="VerbatimChar"/>
        </w:rPr>
        <w:t>│   └── documentation/</w:t>
      </w:r>
      <w:r>
        <w:rPr/>
        <w:br/>
      </w:r>
      <w:r>
        <w:rPr>
          <w:rStyle w:val="VerbatimChar"/>
        </w:rPr>
        <w:t>├── hooks/</w:t>
      </w:r>
      <w:r>
        <w:rPr/>
        <w:br/>
      </w:r>
      <w:r>
        <w:rPr>
          <w:rStyle w:val="VerbatimChar"/>
        </w:rPr>
        <w:t>├── services/</w:t>
      </w:r>
      <w:r>
        <w:rPr/>
        <w:br/>
      </w:r>
      <w:r>
        <w:rPr>
          <w:rStyle w:val="VerbatimChar"/>
        </w:rPr>
        <w:t>├── stores/</w:t>
      </w:r>
      <w:r>
        <w:rPr/>
        <w:br/>
      </w:r>
      <w:r>
        <w:rPr>
          <w:rStyle w:val="VerbatimChar"/>
        </w:rPr>
        <w:t>├── types/</w:t>
      </w:r>
      <w:r>
        <w:rPr/>
        <w:br/>
      </w:r>
      <w:r>
        <w:rPr>
          <w:rStyle w:val="VerbatimChar"/>
        </w:rPr>
        <w:t>├── utils/</w:t>
      </w:r>
      <w:r>
        <w:rPr/>
        <w:br/>
      </w:r>
      <w:r>
        <w:rPr>
          <w:rStyle w:val="VerbatimChar"/>
        </w:rPr>
        <w:t>├── styles/</w:t>
      </w:r>
      <w:r>
        <w:rPr/>
        <w:br/>
      </w:r>
      <w:r>
        <w:rPr>
          <w:rStyle w:val="VerbatimChar"/>
        </w:rPr>
        <w:t>└── tests/</w:t>
      </w:r>
      <w:bookmarkEnd w:id="99"/>
      <w:bookmarkEnd w:id="130"/>
    </w:p>
    <w:p>
      <w:pPr>
        <w:pStyle w:val="Heading1"/>
        <w:rPr/>
      </w:pPr>
      <w:bookmarkStart w:id="131" w:name="api-specifications"/>
      <w:r>
        <w:rPr>
          <w:rStyle w:val="SectionNumber"/>
        </w:rPr>
        <w:t>13</w:t>
      </w:r>
      <w:r>
        <w:rPr/>
        <w:tab/>
        <w:t>API Specifications</w:t>
      </w:r>
    </w:p>
    <w:p>
      <w:pPr>
        <w:pStyle w:val="FirstParagraph"/>
        <w:rPr/>
      </w:pPr>
      <w:r>
        <w:rPr/>
        <w:t>The Prism Earth platform exposes a set of deterministic, versioned REST APIs that provide geospatial intelligence for any supported coordinate within India. These APIs serve as the primary communication layer between the frontend, AI agents, external systems, and the backend services.</w:t>
      </w:r>
    </w:p>
    <w:p>
      <w:pPr>
        <w:pStyle w:val="BodyText"/>
        <w:rPr/>
      </w:pPr>
      <w:r>
        <w:rPr/>
        <w:t>Unlike conventional GIS APIs that expose individual datasets, Prism Earth presents a unified API surface backed by a metadata-driven field catalog, deterministic execution pipeline, and complete provenance tracking. All APIs shall be RESTful, stateless, versioned, deterministic, self-documenting, backward compatible, and production-ready. The API layer forms the contract between all platform components and external consumers.</w:t>
      </w:r>
    </w:p>
    <w:p>
      <w:pPr>
        <w:pStyle w:val="Heading2"/>
        <w:rPr/>
      </w:pPr>
      <w:bookmarkStart w:id="132" w:name="api-design-principles"/>
      <w:r>
        <w:rPr>
          <w:rStyle w:val="SectionNumber"/>
        </w:rPr>
        <w:t>13.1</w:t>
      </w:r>
      <w:r>
        <w:rPr/>
        <w:tab/>
        <w:t>API Design Principles</w:t>
      </w:r>
    </w:p>
    <w:p>
      <w:pPr>
        <w:pStyle w:val="FirstParagraph"/>
        <w:rPr/>
      </w:pPr>
      <w:r>
        <w:rPr>
          <w:b/>
          <w:bCs/>
        </w:rPr>
        <w:t>Deterministic Responses</w:t>
      </w:r>
      <w:r>
        <w:rPr/>
        <w:t xml:space="preserve"> — for identical inputs, dataset versions, and field selections, the API shall always return identical results. The API shall never estimate, interpolate, or hallucinate data.</w:t>
      </w:r>
    </w:p>
    <w:p>
      <w:pPr>
        <w:pStyle w:val="BodyText"/>
        <w:rPr/>
      </w:pPr>
      <w:r>
        <w:rPr>
          <w:b/>
          <w:bCs/>
        </w:rPr>
        <w:t>Versioned Endpoints</w:t>
      </w:r>
      <w:r>
        <w:rPr/>
        <w:t xml:space="preserve"> — every endpoint shall be exposed under a version namespace (</w:t>
      </w:r>
      <w:r>
        <w:rPr>
          <w:rStyle w:val="VerbatimChar"/>
        </w:rPr>
        <w:t>/api/v1/</w:t>
      </w:r>
      <w:r>
        <w:rPr/>
        <w:t>). Future versions (</w:t>
      </w:r>
      <w:r>
        <w:rPr>
          <w:rStyle w:val="VerbatimChar"/>
        </w:rPr>
        <w:t>/api/v2/</w:t>
      </w:r>
      <w:r>
        <w:rPr/>
        <w:t xml:space="preserve">, </w:t>
      </w:r>
      <w:r>
        <w:rPr>
          <w:rStyle w:val="VerbatimChar"/>
        </w:rPr>
        <w:t>/api/v3/</w:t>
      </w:r>
      <w:r>
        <w:rPr/>
        <w:t>) shall coexist, and older versions shall remain operational until officially deprecated.</w:t>
      </w:r>
    </w:p>
    <w:p>
      <w:pPr>
        <w:pStyle w:val="BodyText"/>
        <w:rPr/>
      </w:pPr>
      <w:r>
        <w:rPr>
          <w:b/>
          <w:bCs/>
        </w:rPr>
        <w:t>Metadata Driven</w:t>
      </w:r>
      <w:r>
        <w:rPr/>
        <w:t xml:space="preserve"> — every API shall use the active metadata catalog as the authoritative source of supported fields. Clients shall never hardcode field definitions.</w:t>
      </w:r>
    </w:p>
    <w:p>
      <w:pPr>
        <w:pStyle w:val="BodyText"/>
        <w:rPr/>
      </w:pPr>
      <w:r>
        <w:rPr>
          <w:b/>
          <w:bCs/>
        </w:rPr>
        <w:t>Transparent Data Retrieval</w:t>
      </w:r>
      <w:r>
        <w:rPr/>
        <w:t xml:space="preserve"> — every returned value shall include provenance information identifying dataset, source URL, dataset version, fetch timestamp, confidence, TTL, and null meaning.</w:t>
      </w:r>
    </w:p>
    <w:p>
      <w:pPr>
        <w:pStyle w:val="BodyText"/>
        <w:rPr/>
      </w:pPr>
      <w:r>
        <w:rPr>
          <w:b/>
          <w:bCs/>
        </w:rPr>
        <w:t>Partial Failure Support</w:t>
      </w:r>
      <w:r>
        <w:rPr/>
        <w:t xml:space="preserve"> — failure of a single dataset shall not terminate the request; successful fields shall be returned and failed fields shall appear inside </w:t>
      </w:r>
      <w:r>
        <w:rPr>
          <w:rStyle w:val="VerbatimChar"/>
        </w:rPr>
        <w:t>partial_failures</w:t>
      </w:r>
      <w:r>
        <w:rPr/>
        <w:t>.</w:t>
      </w:r>
      <w:bookmarkEnd w:id="132"/>
    </w:p>
    <w:p>
      <w:pPr>
        <w:pStyle w:val="Heading2"/>
        <w:rPr/>
      </w:pPr>
      <w:bookmarkStart w:id="133" w:name="api-versioning"/>
      <w:r>
        <w:rPr>
          <w:rStyle w:val="SectionNumber"/>
        </w:rPr>
        <w:t>13.2</w:t>
      </w:r>
      <w:r>
        <w:rPr/>
        <w:tab/>
        <w:t>API Versioning</w:t>
      </w:r>
    </w:p>
    <w:p>
      <w:pPr>
        <w:pStyle w:val="FirstParagraph"/>
        <w:rPr/>
      </w:pPr>
      <w:r>
        <w:rPr/>
        <w:t xml:space="preserve">Version 1 endpoints: </w:t>
      </w:r>
      <w:r>
        <w:rPr>
          <w:rStyle w:val="VerbatimChar"/>
        </w:rPr>
        <w:t>/api/v1/meta/fields</w:t>
      </w:r>
      <w:r>
        <w:rPr/>
        <w:t xml:space="preserve">, </w:t>
      </w:r>
      <w:r>
        <w:rPr>
          <w:rStyle w:val="VerbatimChar"/>
        </w:rPr>
        <w:t>/api/v1/meta/presets</w:t>
      </w:r>
      <w:r>
        <w:rPr/>
        <w:t xml:space="preserve">, </w:t>
      </w:r>
      <w:r>
        <w:rPr>
          <w:rStyle w:val="VerbatimChar"/>
        </w:rPr>
        <w:t>/api/v1/meta/layers</w:t>
      </w:r>
      <w:r>
        <w:rPr/>
        <w:t xml:space="preserve">, </w:t>
      </w:r>
      <w:r>
        <w:rPr>
          <w:rStyle w:val="VerbatimChar"/>
        </w:rPr>
        <w:t>/api/v1/fetch</w:t>
      </w:r>
      <w:r>
        <w:rPr/>
        <w:t xml:space="preserve">, </w:t>
      </w:r>
      <w:r>
        <w:rPr>
          <w:rStyle w:val="VerbatimChar"/>
        </w:rPr>
        <w:t>/api/v1/ask</w:t>
      </w:r>
      <w:r>
        <w:rPr/>
        <w:t xml:space="preserve">, </w:t>
      </w:r>
      <w:r>
        <w:rPr>
          <w:rStyle w:val="VerbatimChar"/>
        </w:rPr>
        <w:t>/api/v1/datasets</w:t>
      </w:r>
      <w:r>
        <w:rPr/>
        <w:t xml:space="preserve">, </w:t>
      </w:r>
      <w:r>
        <w:rPr>
          <w:rStyle w:val="VerbatimChar"/>
        </w:rPr>
        <w:t>/api/v1/health</w:t>
      </w:r>
      <w:r>
        <w:rPr/>
        <w:t xml:space="preserve">, </w:t>
      </w:r>
      <w:r>
        <w:rPr>
          <w:rStyle w:val="VerbatimChar"/>
        </w:rPr>
        <w:t>/api/v1/ready</w:t>
      </w:r>
      <w:r>
        <w:rPr/>
        <w:t xml:space="preserve">, </w:t>
      </w:r>
      <w:r>
        <w:rPr>
          <w:rStyle w:val="VerbatimChar"/>
        </w:rPr>
        <w:t>/api/v1/live</w:t>
      </w:r>
      <w:r>
        <w:rPr/>
        <w:t>.</w:t>
      </w:r>
      <w:bookmarkEnd w:id="133"/>
    </w:p>
    <w:p>
      <w:pPr>
        <w:pStyle w:val="Heading2"/>
        <w:rPr/>
      </w:pPr>
      <w:bookmarkStart w:id="134" w:name="standard-request-format"/>
      <w:r>
        <w:rPr>
          <w:rStyle w:val="SectionNumber"/>
        </w:rPr>
        <w:t>13.3</w:t>
      </w:r>
      <w:r>
        <w:rPr/>
        <w:tab/>
        <w:t>Standard Request Format</w:t>
      </w:r>
    </w:p>
    <w:p>
      <w:pPr>
        <w:pStyle w:val="FirstParagraph"/>
        <w:rPr/>
      </w:pPr>
      <w:r>
        <w:rPr/>
        <w:t>Every POST request shall include WGS84 coordinates:</w:t>
      </w:r>
    </w:p>
    <w:p>
      <w:pPr>
        <w:pStyle w:val="SourceCode"/>
        <w:rPr/>
      </w:pP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17.3850</w:t>
      </w:r>
      <w:r>
        <w:rPr>
          <w:rStyle w:val="FunctionTok"/>
        </w:rPr>
        <w:t>,</w:t>
      </w:r>
      <w:r>
        <w:rPr>
          <w:rStyle w:val="NormalTok"/>
        </w:rPr>
        <w:t xml:space="preserve"> </w:t>
      </w:r>
      <w:r>
        <w:rPr>
          <w:rStyle w:val="DataTypeTok"/>
        </w:rPr>
        <w:t>"lng"</w:t>
      </w:r>
      <w:r>
        <w:rPr>
          <w:rStyle w:val="FunctionTok"/>
        </w:rPr>
        <w:t>:</w:t>
      </w:r>
      <w:r>
        <w:rPr>
          <w:rStyle w:val="NormalTok"/>
        </w:rPr>
        <w:t xml:space="preserve"> </w:t>
      </w:r>
      <w:r>
        <w:rPr>
          <w:rStyle w:val="FloatTok"/>
        </w:rPr>
        <w:t>78.4867</w:t>
      </w:r>
      <w:r>
        <w:rPr>
          <w:rStyle w:val="NormalTok"/>
        </w:rPr>
        <w:t xml:space="preserve"> </w:t>
      </w:r>
      <w:r>
        <w:rPr>
          <w:rStyle w:val="FunctionTok"/>
        </w:rPr>
        <w:t>}</w:t>
      </w:r>
      <w:bookmarkEnd w:id="134"/>
    </w:p>
    <w:p>
      <w:pPr>
        <w:pStyle w:val="Heading2"/>
        <w:rPr/>
      </w:pPr>
      <w:bookmarkStart w:id="135" w:name="standard-response-format"/>
      <w:r>
        <w:rPr>
          <w:rStyle w:val="SectionNumber"/>
        </w:rPr>
        <w:t>13.4</w:t>
      </w:r>
      <w:r>
        <w:rPr/>
        <w:tab/>
        <w:t>Standard Response Format</w:t>
      </w:r>
    </w:p>
    <w:p>
      <w:pPr>
        <w:pStyle w:val="FirstParagraph"/>
        <w:rPr/>
      </w:pPr>
      <w:r>
        <w:rPr/>
        <w:t>Every response shall include:</w:t>
      </w:r>
    </w:p>
    <w:p>
      <w:pPr>
        <w:pStyle w:val="SourceCode"/>
        <w:rPr/>
      </w:pPr>
      <w:r>
        <w:rPr>
          <w:rStyle w:val="FunctionTok"/>
        </w:rPr>
        <w:t>{</w:t>
      </w:r>
      <w:r>
        <w:rPr/>
        <w:br/>
      </w:r>
      <w:r>
        <w:rPr>
          <w:rStyle w:val="NormalTok"/>
        </w:rPr>
        <w:t xml:space="preserve">  </w:t>
      </w:r>
      <w:r>
        <w:rPr>
          <w:rStyle w:val="DataTypeTok"/>
        </w:rPr>
        <w:t>"request_id"</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"timestamp"</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"v1"</w:t>
      </w:r>
      <w:r>
        <w:rPr>
          <w:rStyle w:val="FunctionTok"/>
        </w:rPr>
        <w:t>,</w:t>
      </w:r>
      <w:r>
        <w:rP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rPr/>
        <w:br/>
      </w:r>
      <w:r>
        <w:rPr>
          <w:rStyle w:val="NormalTok"/>
        </w:rPr>
        <w:t xml:space="preserve">  </w:t>
      </w:r>
      <w:r>
        <w:rPr>
          <w:rStyle w:val="DataTypeTok"/>
        </w:rPr>
        <w:t>"data"</w:t>
      </w:r>
      <w:r>
        <w:rPr>
          <w:rStyle w:val="FunctionTok"/>
        </w:rPr>
        <w:t>:</w:t>
      </w:r>
      <w:r>
        <w:rPr>
          <w:rStyle w:val="NormalTok"/>
        </w:rPr>
        <w:t xml:space="preserve"> </w:t>
      </w:r>
      <w:r>
        <w:rPr>
          <w:rStyle w:val="FunctionTok"/>
        </w:rPr>
        <w:t>{},</w:t>
      </w:r>
      <w:r>
        <w:rP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br/>
      </w:r>
      <w:r>
        <w:rPr>
          <w:rStyle w:val="NormalTok"/>
        </w:rPr>
        <w:t xml:space="preserve">  </w:t>
      </w:r>
      <w:r>
        <w:rPr>
          <w:rStyle w:val="DataTypeTok"/>
        </w:rPr>
        <w:t>"partial_failures"</w:t>
      </w:r>
      <w:r>
        <w:rPr>
          <w:rStyle w:val="FunctionTok"/>
        </w:rPr>
        <w:t>:</w:t>
      </w:r>
      <w:r>
        <w:rPr>
          <w:rStyle w:val="NormalTok"/>
        </w:rPr>
        <w:t xml:space="preserve"> </w:t>
      </w:r>
      <w:r>
        <w:rPr>
          <w:rStyle w:val="OtherTok"/>
        </w:rPr>
        <w:t>[]</w:t>
      </w:r>
      <w:r>
        <w:rPr/>
        <w:br/>
      </w:r>
      <w:r>
        <w:rPr>
          <w:rStyle w:val="FunctionTok"/>
        </w:rPr>
        <w:t>}</w:t>
      </w:r>
      <w:bookmarkEnd w:id="135"/>
    </w:p>
    <w:p>
      <w:pPr>
        <w:pStyle w:val="Heading2"/>
        <w:rPr/>
      </w:pPr>
      <w:bookmarkStart w:id="136" w:name="metadata-apis"/>
      <w:r>
        <w:rPr>
          <w:rStyle w:val="SectionNumber"/>
        </w:rPr>
        <w:t>13.5</w:t>
      </w:r>
      <w:r>
        <w:rPr/>
        <w:tab/>
        <w:t>Metadata APIs</w:t>
      </w:r>
    </w:p>
    <w:p>
      <w:pPr>
        <w:pStyle w:val="FirstParagraph"/>
        <w:rPr/>
      </w:pPr>
      <w:bookmarkStart w:id="137" w:name="metadata-apis"/>
      <w:r>
        <w:rPr/>
        <w:t>The Metadata APIs expose the platform capabilities. The Planner, frontend, MCP server, and third-party developers rely on these endpoints to discover supported fields.</w:t>
      </w:r>
      <w:bookmarkEnd w:id="137"/>
    </w:p>
    <w:p>
      <w:pPr>
        <w:pStyle w:val="Heading2"/>
        <w:rPr/>
      </w:pPr>
      <w:r>
        <w:rPr>
          <w:rStyle w:val="SectionNumber"/>
        </w:rPr>
        <w:t>13.6</w:t>
      </w:r>
      <w:r>
        <w:rPr/>
        <w:tab/>
        <w:t>GET /api/v1/meta/fields</w:t>
      </w:r>
    </w:p>
    <w:p>
      <w:pPr>
        <w:pStyle w:val="FirstParagraph"/>
        <w:rPr/>
      </w:pPr>
      <w:r>
        <w:rPr/>
        <w:t>Returns the active metadata catalog — the authoritative registry of all supported geospatial fields, including lifecycle and availability metadata. Each field object contains: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field identifier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name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Terrain, Climate, etc.</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lifecycle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Stable, Beta, Planned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Availability flag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nullable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Whether value may be null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null_meaning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for null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name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source_url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dataset URL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unit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datatype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 datatype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Cache duration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interpretation_hint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Guidance for interpreting the field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Associated presets</w:t>
            </w:r>
            <w:bookmarkStart w:id="138" w:name="get-apiv1metafields"/>
            <w:bookmarkEnd w:id="138"/>
          </w:p>
        </w:tc>
      </w:tr>
    </w:tbl>
    <w:p>
      <w:pPr>
        <w:pStyle w:val="Heading2"/>
        <w:rPr/>
      </w:pPr>
      <w:r>
        <w:rPr>
          <w:rStyle w:val="SectionNumber"/>
        </w:rPr>
        <w:t>13.7</w:t>
      </w:r>
      <w:r>
        <w:rPr/>
        <w:tab/>
        <w:t>GET /api/v1/meta/layers</w:t>
      </w:r>
    </w:p>
    <w:p>
      <w:pPr>
        <w:pStyle w:val="FirstParagraph"/>
        <w:rPr/>
      </w:pPr>
      <w:r>
        <w:rPr/>
        <w:t>Returns the supported logical layers: Terrain, Climate, Land Cover, Natural Hazard, Infrastructure, Administrative, Cadastral.</w:t>
      </w:r>
    </w:p>
    <w:p>
      <w:pPr>
        <w:pStyle w:val="Heading2"/>
        <w:rPr/>
      </w:pPr>
      <w:bookmarkStart w:id="139" w:name="get-apiv1metapresets"/>
      <w:r>
        <w:rPr>
          <w:rStyle w:val="SectionNumber"/>
        </w:rPr>
        <w:t>13.8</w:t>
      </w:r>
      <w:r>
        <w:rPr/>
        <w:tab/>
        <w:t>GET /api/v1/meta/presets</w:t>
      </w:r>
    </w:p>
    <w:p>
      <w:pPr>
        <w:pStyle w:val="FirstParagraph"/>
        <w:rPr/>
      </w:pPr>
      <w:bookmarkStart w:id="140" w:name="get-apiv1metapresets"/>
      <w:r>
        <w:rPr/>
        <w:t>Returns all predefined field bundles available in the active metadata catalog. Each preset contains a name, description, included fields, applicable layers, and supported states.</w:t>
      </w:r>
      <w:bookmarkEnd w:id="140"/>
    </w:p>
    <w:p>
      <w:pPr>
        <w:pStyle w:val="Heading2"/>
        <w:rPr/>
      </w:pPr>
      <w:bookmarkStart w:id="141" w:name="post-apiv1fetch"/>
      <w:r>
        <w:rPr>
          <w:rStyle w:val="SectionNumber"/>
        </w:rPr>
        <w:t>13.9</w:t>
      </w:r>
      <w:r>
        <w:rPr/>
        <w:tab/>
        <w:t>POST /api/v1/fetch</w:t>
      </w:r>
    </w:p>
    <w:p>
      <w:pPr>
        <w:pStyle w:val="FirstParagraph"/>
        <w:rPr/>
      </w:pPr>
      <w:r>
        <w:rPr/>
        <w:t>Provides deterministic retrieval of raw geospatial values. No AI processing occurs.</w:t>
      </w:r>
    </w:p>
    <w:p>
      <w:pPr>
        <w:pStyle w:val="SourceCode"/>
        <w:rPr/>
      </w:pP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17.385</w:t>
      </w:r>
      <w:r>
        <w:rPr>
          <w:rStyle w:val="FunctionTok"/>
        </w:rPr>
        <w:t>,</w:t>
      </w:r>
      <w:r>
        <w:rPr>
          <w:rStyle w:val="NormalTok"/>
        </w:rPr>
        <w:t xml:space="preserve"> </w:t>
      </w:r>
      <w:r>
        <w:rPr>
          <w:rStyle w:val="DataTypeTok"/>
        </w:rPr>
        <w:t>"lng"</w:t>
      </w:r>
      <w:r>
        <w:rPr>
          <w:rStyle w:val="FunctionTok"/>
        </w:rPr>
        <w:t>:</w:t>
      </w:r>
      <w:r>
        <w:rPr>
          <w:rStyle w:val="NormalTok"/>
        </w:rPr>
        <w:t xml:space="preserve"> </w:t>
      </w:r>
      <w:r>
        <w:rPr>
          <w:rStyle w:val="FloatTok"/>
        </w:rPr>
        <w:t>78.486</w:t>
      </w:r>
      <w:r>
        <w:rPr>
          <w:rStyle w:val="FunctionTok"/>
        </w:rPr>
        <w:t>,</w:t>
      </w:r>
      <w:r>
        <w:rPr>
          <w:rStyle w:val="NormalTok"/>
        </w:rPr>
        <w:t xml:space="preserve"> </w:t>
      </w:r>
      <w:r>
        <w:rPr>
          <w:rStyle w:val="DataTypeTok"/>
        </w:rPr>
        <w:t>"fields"</w:t>
      </w:r>
      <w:r>
        <w:rPr>
          <w:rStyle w:val="FunctionTok"/>
        </w:rPr>
        <w:t>:</w:t>
      </w:r>
      <w:r>
        <w:rPr>
          <w:rStyle w:val="NormalTok"/>
        </w:rPr>
        <w:t xml:space="preserve"> </w:t>
      </w:r>
      <w:r>
        <w:rPr>
          <w:rStyle w:val="OtherTok"/>
        </w:rPr>
        <w:t>[</w:t>
      </w:r>
      <w:r>
        <w:rPr>
          <w:rStyle w:val="StringTok"/>
        </w:rPr>
        <w:t>"elevation"</w:t>
      </w:r>
      <w:r>
        <w:rPr>
          <w:rStyle w:val="OtherTok"/>
        </w:rPr>
        <w:t>,</w:t>
      </w:r>
      <w:r>
        <w:rPr>
          <w:rStyle w:val="NormalTok"/>
        </w:rPr>
        <w:t xml:space="preserve"> </w:t>
      </w:r>
      <w:r>
        <w:rPr>
          <w:rStyle w:val="StringTok"/>
        </w:rPr>
        <w:t>"slope"</w:t>
      </w:r>
      <w:r>
        <w:rPr>
          <w:rStyle w:val="OtherTok"/>
        </w:rPr>
        <w:t>,</w:t>
      </w:r>
      <w:r>
        <w:rPr>
          <w:rStyle w:val="NormalTok"/>
        </w:rPr>
        <w:t xml:space="preserve"> </w:t>
      </w:r>
      <w:r>
        <w:rPr>
          <w:rStyle w:val="StringTok"/>
        </w:rPr>
        <w:t>"ndvi_current"</w:t>
      </w:r>
      <w:r>
        <w:rPr>
          <w:rStyle w:val="OtherTok"/>
        </w:rPr>
        <w:t>]</w:t>
      </w:r>
      <w:r>
        <w:rPr>
          <w:rStyle w:val="NormalTok"/>
        </w:rPr>
        <w:t xml:space="preserve"> </w:t>
      </w:r>
      <w:r>
        <w:rPr>
          <w:rStyle w:val="FunctionTok"/>
        </w:rPr>
        <w:t>}</w:t>
      </w:r>
    </w:p>
    <w:p>
      <w:pPr>
        <w:pStyle w:val="FirstParagraph"/>
        <w:rPr/>
      </w:pPr>
      <w:r>
        <w:rPr/>
        <w:t>or</w:t>
      </w:r>
    </w:p>
    <w:p>
      <w:pPr>
        <w:pStyle w:val="SourceCode"/>
        <w:rPr/>
      </w:pP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17.385</w:t>
      </w:r>
      <w:r>
        <w:rPr>
          <w:rStyle w:val="FunctionTok"/>
        </w:rPr>
        <w:t>,</w:t>
      </w:r>
      <w:r>
        <w:rPr>
          <w:rStyle w:val="NormalTok"/>
        </w:rPr>
        <w:t xml:space="preserve"> </w:t>
      </w:r>
      <w:r>
        <w:rPr>
          <w:rStyle w:val="DataTypeTok"/>
        </w:rPr>
        <w:t>"lng"</w:t>
      </w:r>
      <w:r>
        <w:rPr>
          <w:rStyle w:val="FunctionTok"/>
        </w:rPr>
        <w:t>:</w:t>
      </w:r>
      <w:r>
        <w:rPr>
          <w:rStyle w:val="NormalTok"/>
        </w:rPr>
        <w:t xml:space="preserve"> </w:t>
      </w:r>
      <w:r>
        <w:rPr>
          <w:rStyle w:val="FloatTok"/>
        </w:rPr>
        <w:t>78.486</w:t>
      </w:r>
      <w:r>
        <w:rPr>
          <w:rStyle w:val="FunctionTok"/>
        </w:rPr>
        <w:t>,</w:t>
      </w:r>
      <w:r>
        <w:rPr>
          <w:rStyle w:val="NormalTok"/>
        </w:rPr>
        <w:t xml:space="preserve"> </w:t>
      </w:r>
      <w:r>
        <w:rPr>
          <w:rStyle w:val="DataTypeTok"/>
        </w:rPr>
        <w:t>"preset"</w:t>
      </w:r>
      <w:r>
        <w:rPr>
          <w:rStyle w:val="FunctionTok"/>
        </w:rPr>
        <w:t>:</w:t>
      </w:r>
      <w:r>
        <w:rPr>
          <w:rStyle w:val="NormalTok"/>
        </w:rPr>
        <w:t xml:space="preserve"> </w:t>
      </w:r>
      <w:r>
        <w:rPr>
          <w:rStyle w:val="StringTok"/>
        </w:rPr>
        <w:t>"terrain"</w:t>
      </w:r>
      <w:r>
        <w:rPr>
          <w:rStyle w:val="NormalTok"/>
        </w:rPr>
        <w:t xml:space="preserve"> </w:t>
      </w:r>
      <w:r>
        <w:rPr>
          <w:rStyle w:val="FunctionTok"/>
        </w:rPr>
        <w:t>}</w:t>
      </w:r>
    </w:p>
    <w:p>
      <w:pPr>
        <w:pStyle w:val="FirstParagraph"/>
        <w:rPr/>
      </w:pPr>
      <w:r>
        <w:rPr/>
        <w:t>Processing pipeline: validate coordinates → validate fields → expand presets → connector routing → parallel fetch → aggregate results → generate provenance → return response.</w:t>
      </w:r>
    </w:p>
    <w:p>
      <w:pPr>
        <w:pStyle w:val="SourceCode"/>
        <w:rPr/>
      </w:pPr>
      <w:r>
        <w:rPr>
          <w:rStyle w:val="FunctionTok"/>
        </w:rPr>
        <w:t>{</w:t>
      </w:r>
      <w:r>
        <w:rPr>
          <w:rStyle w:val="NormalTok"/>
        </w:rPr>
        <w:t xml:space="preserve"> </w:t>
      </w:r>
      <w:r>
        <w:rPr>
          <w:rStyle w:val="DataTypeTok"/>
        </w:rPr>
        <w:t>"fields"</w:t>
      </w:r>
      <w:r>
        <w:rPr>
          <w:rStyle w:val="FunctionTok"/>
        </w:rPr>
        <w:t>:</w:t>
      </w:r>
      <w:r>
        <w:rPr>
          <w:rStyle w:val="NormalTok"/>
        </w:rPr>
        <w:t xml:space="preserve"> </w:t>
      </w:r>
      <w:r>
        <w:rPr>
          <w:rStyle w:val="FunctionTok"/>
        </w:rPr>
        <w:t>{},</w:t>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"partial_failures"</w:t>
      </w:r>
      <w:r>
        <w:rPr>
          <w:rStyle w:val="FunctionTok"/>
        </w:rPr>
        <w:t>:</w:t>
      </w:r>
      <w:r>
        <w:rPr>
          <w:rStyle w:val="NormalTok"/>
        </w:rPr>
        <w:t xml:space="preserve"> </w:t>
      </w:r>
      <w:r>
        <w:rPr>
          <w:rStyle w:val="OtherTok"/>
        </w:rPr>
        <w:t>[]</w:t>
      </w:r>
      <w:r>
        <w:rPr>
          <w:rStyle w:val="NormalTok"/>
        </w:rPr>
        <w:t xml:space="preserve"> </w:t>
      </w:r>
      <w:r>
        <w:rPr>
          <w:rStyle w:val="FunctionTok"/>
        </w:rPr>
        <w:t>}</w:t>
      </w:r>
      <w:bookmarkEnd w:id="141"/>
    </w:p>
    <w:p>
      <w:pPr>
        <w:pStyle w:val="Heading2"/>
        <w:rPr/>
      </w:pPr>
      <w:bookmarkStart w:id="142" w:name="field-object"/>
      <w:r>
        <w:rPr>
          <w:rStyle w:val="SectionNumber"/>
        </w:rPr>
        <w:t>13.10</w:t>
      </w:r>
      <w:r>
        <w:rPr/>
        <w:tab/>
        <w:t>Field Object</w:t>
      </w:r>
    </w:p>
    <w:p>
      <w:pPr>
        <w:pStyle w:val="FirstParagraph"/>
        <w:rPr/>
      </w:pPr>
      <w:r>
        <w:rPr/>
        <w:t>Every returned field shall follow a standardized schema:</w:t>
      </w:r>
    </w:p>
    <w:p>
      <w:pPr>
        <w:pStyle w:val="SourceCode"/>
        <w:rPr/>
      </w:pP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"elevation"</w:t>
      </w:r>
      <w:r>
        <w:rPr>
          <w:rStyle w:val="FunctionTok"/>
        </w:rPr>
        <w:t>,</w:t>
      </w:r>
      <w:r>
        <w:rPr/>
        <w:br/>
      </w:r>
      <w:r>
        <w:rPr>
          <w:rStyle w:val="NormalTok"/>
        </w:rPr>
        <w:t xml:space="preserve">  </w:t>
      </w:r>
      <w:r>
        <w:rPr>
          <w:rStyle w:val="DataTypeTok"/>
        </w:rPr>
        <w:t>"value"</w:t>
      </w:r>
      <w:r>
        <w:rPr>
          <w:rStyle w:val="FunctionTok"/>
        </w:rPr>
        <w:t>:</w:t>
      </w:r>
      <w:r>
        <w:rPr>
          <w:rStyle w:val="NormalTok"/>
        </w:rPr>
        <w:t xml:space="preserve"> </w:t>
      </w:r>
      <w:r>
        <w:rPr>
          <w:rStyle w:val="FloatTok"/>
        </w:rPr>
        <w:t>542.13</w:t>
      </w:r>
      <w:r>
        <w:rPr>
          <w:rStyle w:val="FunctionTok"/>
        </w:rPr>
        <w:t>,</w:t>
      </w:r>
      <w:r>
        <w:rPr/>
        <w:br/>
      </w:r>
      <w:r>
        <w:rPr>
          <w:rStyle w:val="NormalTok"/>
        </w:rPr>
        <w:t xml:space="preserve">  </w:t>
      </w:r>
      <w:r>
        <w:rPr>
          <w:rStyle w:val="DataTypeTok"/>
        </w:rPr>
        <w:t>"unit"</w:t>
      </w:r>
      <w:r>
        <w:rPr>
          <w:rStyle w:val="FunctionTok"/>
        </w:rPr>
        <w:t>:</w:t>
      </w:r>
      <w:r>
        <w:rPr>
          <w:rStyle w:val="NormalTok"/>
        </w:rPr>
        <w:t xml:space="preserve"> </w:t>
      </w:r>
      <w:r>
        <w:rPr>
          <w:rStyle w:val="StringTok"/>
        </w:rPr>
        <w:t>"m"</w:t>
      </w:r>
      <w:r>
        <w:rPr>
          <w:rStyle w:val="FunctionTok"/>
        </w:rPr>
        <w:t>,</w:t>
      </w:r>
      <w:r>
        <w:rPr/>
        <w:br/>
      </w:r>
      <w:r>
        <w:rPr>
          <w:rStyle w:val="NormalTok"/>
        </w:rPr>
        <w:t xml:space="preserve">  </w:t>
      </w:r>
      <w:r>
        <w:rPr>
          <w:rStyle w:val="DataTypeTok"/>
        </w:rPr>
        <w:t>"datatype"</w:t>
      </w:r>
      <w:r>
        <w:rPr>
          <w:rStyle w:val="FunctionTok"/>
        </w:rPr>
        <w:t>:</w:t>
      </w:r>
      <w:r>
        <w:rPr>
          <w:rStyle w:val="NormalTok"/>
        </w:rPr>
        <w:t xml:space="preserve"> </w:t>
      </w:r>
      <w:r>
        <w:rPr>
          <w:rStyle w:val="StringTok"/>
        </w:rPr>
        <w:t>"float"</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"dataset_version"</w:t>
      </w:r>
      <w:r>
        <w:rPr>
          <w:rStyle w:val="FunctionTok"/>
        </w:rPr>
        <w:t>:</w:t>
      </w:r>
      <w:r>
        <w:rPr>
          <w:rStyle w:val="NormalTok"/>
        </w:rPr>
        <w:t xml:space="preserve"> </w:t>
      </w:r>
      <w:r>
        <w:rPr>
          <w:rStyle w:val="StringTok"/>
        </w:rPr>
        <w:t>"v2"</w:t>
      </w:r>
      <w:r>
        <w:rPr>
          <w:rStyle w:val="FunctionTok"/>
        </w:rPr>
        <w:t>,</w:t>
      </w:r>
      <w:r>
        <w:rPr/>
        <w:br/>
      </w:r>
      <w:r>
        <w:rPr>
          <w:rStyle w:val="NormalTok"/>
        </w:rPr>
        <w:t xml:space="preserve">  </w:t>
      </w:r>
      <w:r>
        <w:rPr>
          <w:rStyle w:val="DataTypeTok"/>
        </w:rPr>
        <w:t>"retrieved_at"</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"ttl"</w:t>
      </w:r>
      <w:r>
        <w:rPr>
          <w:rStyle w:val="FunctionTok"/>
        </w:rPr>
        <w:t>:</w:t>
      </w:r>
      <w:r>
        <w:rPr>
          <w:rStyle w:val="NormalTok"/>
        </w:rPr>
        <w:t xml:space="preserve"> </w:t>
      </w:r>
      <w:r>
        <w:rPr>
          <w:rStyle w:val="StringTok"/>
        </w:rPr>
        <w:t>"30d"</w:t>
      </w:r>
      <w:r>
        <w:rPr/>
        <w:br/>
      </w:r>
      <w:r>
        <w:rPr>
          <w:rStyle w:val="FunctionTok"/>
        </w:rPr>
        <w:t>}</w:t>
      </w:r>
      <w:bookmarkEnd w:id="142"/>
    </w:p>
    <w:p>
      <w:pPr>
        <w:pStyle w:val="Heading2"/>
        <w:rPr/>
      </w:pPr>
      <w:bookmarkStart w:id="143" w:name="provenance-object"/>
      <w:r>
        <w:rPr>
          <w:rStyle w:val="SectionNumber"/>
        </w:rPr>
        <w:t>13.11</w:t>
      </w:r>
      <w:r>
        <w:rPr/>
        <w:tab/>
        <w:t>Provenance Object</w:t>
      </w:r>
    </w:p>
    <w:p>
      <w:pPr>
        <w:pStyle w:val="FirstParagraph"/>
        <w:rPr/>
      </w:pPr>
      <w:r>
        <w:rPr/>
        <w:t>Every field shall include provenance:</w:t>
      </w:r>
    </w:p>
    <w:p>
      <w:pPr>
        <w:pStyle w:val="SourceCode"/>
        <w:rPr/>
      </w:pP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"source_url"</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"dataset_version"</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"retrieved_at"</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"ttl"</w:t>
      </w:r>
      <w:r>
        <w:rPr>
          <w:rStyle w:val="FunctionTok"/>
        </w:rPr>
        <w:t>:</w:t>
      </w:r>
      <w:r>
        <w:rPr>
          <w:rStyle w:val="NormalTok"/>
        </w:rPr>
        <w:t xml:space="preserve"> </w:t>
      </w:r>
      <w:r>
        <w:rPr>
          <w:rStyle w:val="StringTok"/>
        </w:rPr>
        <w:t>"30d"</w:t>
      </w:r>
      <w:r>
        <w:rPr>
          <w:rStyle w:val="FunctionTok"/>
        </w:rPr>
        <w:t>,</w:t>
      </w:r>
      <w:r>
        <w:rPr/>
        <w:br/>
      </w:r>
      <w:r>
        <w:rPr>
          <w:rStyle w:val="NormalTok"/>
        </w:rPr>
        <w:t xml:space="preserve">  </w:t>
      </w:r>
      <w:r>
        <w:rPr>
          <w:rStyle w:val="DataTypeTok"/>
        </w:rPr>
        <w:t>"citation"</w:t>
      </w:r>
      <w:r>
        <w:rPr>
          <w:rStyle w:val="FunctionTok"/>
        </w:rPr>
        <w:t>:</w:t>
      </w:r>
      <w:r>
        <w:rPr>
          <w:rStyle w:val="NormalTok"/>
        </w:rPr>
        <w:t xml:space="preserve"> </w:t>
      </w:r>
      <w:r>
        <w:rPr>
          <w:rStyle w:val="StringTok"/>
        </w:rPr>
        <w:t>"ISRO CartoDEM"</w:t>
      </w:r>
      <w:r>
        <w:rPr/>
        <w:br/>
      </w:r>
      <w:r>
        <w:rPr>
          <w:rStyle w:val="FunctionTok"/>
        </w:rPr>
        <w:t>}</w:t>
      </w:r>
      <w:bookmarkEnd w:id="143"/>
    </w:p>
    <w:p>
      <w:pPr>
        <w:pStyle w:val="Heading2"/>
        <w:rPr/>
      </w:pPr>
      <w:bookmarkStart w:id="144" w:name="partial-failures"/>
      <w:r>
        <w:rPr>
          <w:rStyle w:val="SectionNumber"/>
        </w:rPr>
        <w:t>13.12</w:t>
      </w:r>
      <w:r>
        <w:rPr/>
        <w:tab/>
        <w:t>Partial Failures</w:t>
      </w:r>
    </w:p>
    <w:p>
      <w:pPr>
        <w:pStyle w:val="FirstParagraph"/>
        <w:rPr/>
      </w:pPr>
      <w:r>
        <w:rPr/>
        <w:t>The API shall never abort an entire request due to a single dataset failure:</w:t>
      </w:r>
    </w:p>
    <w:p>
      <w:pPr>
        <w:pStyle w:val="SourceCode"/>
        <w:rPr/>
      </w:pPr>
      <w:r>
        <w:rPr>
          <w:rStyle w:val="FunctionTok"/>
        </w:rPr>
        <w:t>{</w:t>
      </w:r>
      <w:r>
        <w:rPr/>
        <w:br/>
      </w:r>
      <w:r>
        <w:rPr>
          <w:rStyle w:val="NormalTok"/>
        </w:rPr>
        <w:t xml:space="preserve">  </w:t>
      </w:r>
      <w:r>
        <w:rPr>
          <w:rStyle w:val="DataTypeTok"/>
        </w:rPr>
        <w:t>"partial_failures"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rStyle w:val="NormalTok"/>
        </w:rPr>
        <w:t xml:space="preserve"> </w:t>
      </w:r>
      <w:r>
        <w:rPr>
          <w:rStyle w:val="DataTypeTok"/>
        </w:rPr>
        <w:t>"dataset"</w:t>
      </w:r>
      <w:r>
        <w:rPr>
          <w:rStyle w:val="FunctionTok"/>
        </w:rPr>
        <w:t>:</w:t>
      </w:r>
      <w:r>
        <w:rPr>
          <w:rStyle w:val="NormalTok"/>
        </w:rPr>
        <w:t xml:space="preserve"> </w:t>
      </w:r>
      <w:r>
        <w:rPr>
          <w:rStyle w:val="StringTok"/>
        </w:rPr>
        <w:t>"IMD"</w:t>
      </w:r>
      <w:r>
        <w:rPr>
          <w:rStyle w:val="FunctionTok"/>
        </w:rPr>
        <w:t>,</w:t>
      </w:r>
      <w:r>
        <w:rPr>
          <w:rStyle w:val="NormalTok"/>
        </w:rPr>
        <w:t xml:space="preserve"> </w:t>
      </w:r>
      <w:r>
        <w:rPr>
          <w:rStyle w:val="DataTypeTok"/>
        </w:rPr>
        <w:t>"reason"</w:t>
      </w:r>
      <w:r>
        <w:rPr>
          <w:rStyle w:val="FunctionTok"/>
        </w:rPr>
        <w:t>:</w:t>
      </w:r>
      <w:r>
        <w:rPr>
          <w:rStyle w:val="NormalTok"/>
        </w:rPr>
        <w:t xml:space="preserve"> </w:t>
      </w:r>
      <w:r>
        <w:rPr>
          <w:rStyle w:val="StringTok"/>
        </w:rPr>
        <w:t>"Timeout"</w:t>
      </w:r>
      <w:r>
        <w:rPr>
          <w:rStyle w:val="FunctionTok"/>
        </w:rPr>
        <w:t>,</w:t>
      </w:r>
      <w:r>
        <w:rPr>
          <w:rStyle w:val="NormalTok"/>
        </w:rPr>
        <w:t xml:space="preserve"> </w:t>
      </w:r>
      <w:r>
        <w:rPr>
          <w:rStyle w:val="DataTypeTok"/>
        </w:rPr>
        <w:t>"retryable"</w:t>
      </w:r>
      <w:r>
        <w:rPr>
          <w:rStyle w:val="FunctionTok"/>
        </w:rPr>
        <w:t>:</w:t>
      </w:r>
      <w:r>
        <w:rPr>
          <w:rStyle w:val="NormalTok"/>
        </w:rPr>
        <w:t xml:space="preserve"> </w:t>
      </w:r>
      <w:r>
        <w:rPr>
          <w:rStyle w:val="KeywordTok"/>
        </w:rPr>
        <w:t>true</w:t>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bookmarkEnd w:id="144"/>
    </w:p>
    <w:p>
      <w:pPr>
        <w:pStyle w:val="Heading2"/>
        <w:rPr/>
      </w:pPr>
      <w:bookmarkStart w:id="145" w:name="post-apiv1ask"/>
      <w:r>
        <w:rPr>
          <w:rStyle w:val="SectionNumber"/>
        </w:rPr>
        <w:t>13.13</w:t>
      </w:r>
      <w:r>
        <w:rPr/>
        <w:tab/>
        <w:t>POST /api/v1/ask</w:t>
      </w:r>
    </w:p>
    <w:p>
      <w:pPr>
        <w:pStyle w:val="FirstParagraph"/>
        <w:rPr/>
      </w:pPr>
      <w:r>
        <w:rPr/>
        <w:t xml:space="preserve">Provides natural-language geospatial intelligence. Unlike </w:t>
      </w:r>
      <w:r>
        <w:rPr>
          <w:rStyle w:val="VerbatimChar"/>
        </w:rPr>
        <w:t>/fetch</w:t>
      </w:r>
      <w:r>
        <w:rPr/>
        <w:t>, this endpoint invokes AI planning and synthesis.</w:t>
      </w:r>
    </w:p>
    <w:p>
      <w:pPr>
        <w:pStyle w:val="SourceCode"/>
        <w:rPr/>
      </w:pPr>
      <w:r>
        <w:rPr>
          <w:rStyle w:val="FunctionTok"/>
        </w:rPr>
        <w:t>{</w:t>
      </w:r>
      <w:r>
        <w:rPr>
          <w:rStyle w:val="NormalTok"/>
        </w:rPr>
        <w:t xml:space="preserve"> </w:t>
      </w:r>
      <w:r>
        <w:rPr>
          <w:rStyle w:val="DataTypeTok"/>
        </w:rPr>
        <w:t>"lat"</w:t>
      </w:r>
      <w:r>
        <w:rPr>
          <w:rStyle w:val="FunctionTok"/>
        </w:rPr>
        <w:t>:</w:t>
      </w:r>
      <w:r>
        <w:rPr>
          <w:rStyle w:val="NormalTok"/>
        </w:rPr>
        <w:t xml:space="preserve"> </w:t>
      </w:r>
      <w:r>
        <w:rPr>
          <w:rStyle w:val="FloatTok"/>
        </w:rPr>
        <w:t>17.385</w:t>
      </w:r>
      <w:r>
        <w:rPr>
          <w:rStyle w:val="FunctionTok"/>
        </w:rPr>
        <w:t>,</w:t>
      </w:r>
      <w:r>
        <w:rPr>
          <w:rStyle w:val="NormalTok"/>
        </w:rPr>
        <w:t xml:space="preserve"> </w:t>
      </w:r>
      <w:r>
        <w:rPr>
          <w:rStyle w:val="DataTypeTok"/>
        </w:rPr>
        <w:t>"lng"</w:t>
      </w:r>
      <w:r>
        <w:rPr>
          <w:rStyle w:val="FunctionTok"/>
        </w:rPr>
        <w:t>:</w:t>
      </w:r>
      <w:r>
        <w:rPr>
          <w:rStyle w:val="NormalTok"/>
        </w:rPr>
        <w:t xml:space="preserve"> </w:t>
      </w:r>
      <w:r>
        <w:rPr>
          <w:rStyle w:val="FloatTok"/>
        </w:rPr>
        <w:t>78.486</w:t>
      </w:r>
      <w:r>
        <w:rPr>
          <w:rStyle w:val="FunctionTok"/>
        </w:rPr>
        <w:t>,</w:t>
      </w:r>
      <w:r>
        <w:rPr>
          <w:rStyle w:val="NormalTok"/>
        </w:rPr>
        <w:t xml:space="preserve"> </w:t>
      </w:r>
      <w:r>
        <w:rPr>
          <w:rStyle w:val="DataTypeTok"/>
        </w:rPr>
        <w:t>"question"</w:t>
      </w:r>
      <w:r>
        <w:rPr>
          <w:rStyle w:val="FunctionTok"/>
        </w:rPr>
        <w:t>:</w:t>
      </w:r>
      <w:r>
        <w:rPr>
          <w:rStyle w:val="NormalTok"/>
        </w:rPr>
        <w:t xml:space="preserve"> </w:t>
      </w:r>
      <w:r>
        <w:rPr>
          <w:rStyle w:val="StringTok"/>
        </w:rPr>
        <w:t>"Is this area suitable for solar farm development?"</w:t>
      </w:r>
      <w:r>
        <w:rPr>
          <w:rStyle w:val="NormalTok"/>
        </w:rPr>
        <w:t xml:space="preserve"> </w:t>
      </w:r>
      <w:r>
        <w:rPr>
          <w:rStyle w:val="FunctionTok"/>
        </w:rPr>
        <w:t>}</w:t>
      </w:r>
    </w:p>
    <w:p>
      <w:pPr>
        <w:pStyle w:val="SourceCode"/>
        <w:rPr/>
      </w:pPr>
      <w:r>
        <w:rPr>
          <w:rStyle w:val="FunctionTok"/>
        </w:rPr>
        <w:t>{</w:t>
      </w:r>
      <w:r>
        <w:rPr>
          <w:rStyle w:val="NormalTok"/>
        </w:rPr>
        <w:t xml:space="preserve"> </w:t>
      </w:r>
      <w:r>
        <w:rPr>
          <w:rStyle w:val="DataTypeTok"/>
        </w:rPr>
        <w:t>"answer"</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"citations"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"trace"</w:t>
      </w:r>
      <w:r>
        <w:rPr>
          <w:rStyle w:val="FunctionTok"/>
        </w:rPr>
        <w:t>:</w:t>
      </w:r>
      <w:r>
        <w:rPr>
          <w:rStyle w:val="NormalTok"/>
        </w:rPr>
        <w:t xml:space="preserve"> </w:t>
      </w:r>
      <w:r>
        <w:rPr>
          <w:rStyle w:val="FunctionTok"/>
        </w:rPr>
        <w:t>{},</w:t>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FunctionTok"/>
        </w:rPr>
        <w:t>}</w:t>
      </w:r>
      <w:bookmarkEnd w:id="145"/>
    </w:p>
    <w:p>
      <w:pPr>
        <w:pStyle w:val="Heading2"/>
        <w:rPr/>
      </w:pPr>
      <w:bookmarkStart w:id="146" w:name="trace-object"/>
      <w:r>
        <w:rPr>
          <w:rStyle w:val="SectionNumber"/>
        </w:rPr>
        <w:t>13.14</w:t>
      </w:r>
      <w:r>
        <w:rPr/>
        <w:tab/>
        <w:t>Trace Object</w:t>
      </w:r>
    </w:p>
    <w:p>
      <w:pPr>
        <w:pStyle w:val="FirstParagraph"/>
        <w:rPr/>
      </w:pPr>
      <w:bookmarkStart w:id="147" w:name="trace-object"/>
      <w:r>
        <w:rPr/>
        <w:t>Every Ask response shall include execution trace information: Planner output, selected fields, selected presets, connector execution, execution duration, and Synthesizer metadata.</w:t>
      </w:r>
      <w:bookmarkEnd w:id="147"/>
    </w:p>
    <w:p>
      <w:pPr>
        <w:pStyle w:val="Heading2"/>
        <w:rPr/>
      </w:pPr>
      <w:bookmarkStart w:id="148" w:name="dataset-apis"/>
      <w:r>
        <w:rPr>
          <w:rStyle w:val="SectionNumber"/>
        </w:rPr>
        <w:t>13.15</w:t>
      </w:r>
      <w:r>
        <w:rPr/>
        <w:tab/>
        <w:t>Dataset APIs</w:t>
      </w:r>
    </w:p>
    <w:p>
      <w:pPr>
        <w:pStyle w:val="FirstParagraph"/>
        <w:rPr/>
      </w:pPr>
      <w:r>
        <w:rPr>
          <w:rStyle w:val="VerbatimChar"/>
        </w:rPr>
        <w:t>GET /api/v1/datasets</w:t>
      </w:r>
      <w:r>
        <w:rPr/>
        <w:t xml:space="preserve"> returns metadata for every configured dataset, including dataset name, provider, version, coverage, resolution, CRS, update frequency, supported layers, and health status.</w:t>
      </w:r>
      <w:bookmarkEnd w:id="148"/>
    </w:p>
    <w:p>
      <w:pPr>
        <w:pStyle w:val="Heading2"/>
        <w:rPr/>
      </w:pPr>
      <w:bookmarkStart w:id="149" w:name="health-apis"/>
      <w:r>
        <w:rPr>
          <w:rStyle w:val="SectionNumber"/>
        </w:rPr>
        <w:t>13.16</w:t>
      </w:r>
      <w:r>
        <w:rPr/>
        <w:tab/>
        <w:t>Health APIs</w:t>
      </w:r>
    </w:p>
    <w:p>
      <w:pPr>
        <w:pStyle w:val="FirstParagraph"/>
        <w:rPr/>
      </w:pPr>
      <w:r>
        <w:rPr/>
        <w:t xml:space="preserve">The platform exposes </w:t>
      </w:r>
      <w:r>
        <w:rPr>
          <w:rStyle w:val="VerbatimChar"/>
        </w:rPr>
        <w:t>GET /api/v1/health</w:t>
      </w:r>
      <w:r>
        <w:rPr/>
        <w:t xml:space="preserve">, </w:t>
      </w:r>
      <w:r>
        <w:rPr>
          <w:rStyle w:val="VerbatimChar"/>
        </w:rPr>
        <w:t>GET /api/v1/ready</w:t>
      </w:r>
      <w:r>
        <w:rPr/>
        <w:t xml:space="preserve">, and </w:t>
      </w:r>
      <w:r>
        <w:rPr>
          <w:rStyle w:val="VerbatimChar"/>
        </w:rPr>
        <w:t>GET /api/v1/live</w:t>
      </w:r>
      <w:r>
        <w:rPr/>
        <w:t>. Each endpoint reports API status, database, Redis, Google Earth Engine, and dataset connector status.</w:t>
      </w:r>
      <w:bookmarkEnd w:id="149"/>
    </w:p>
    <w:p>
      <w:pPr>
        <w:pStyle w:val="Heading2"/>
        <w:rPr/>
      </w:pPr>
      <w:bookmarkStart w:id="150" w:name="error-model"/>
      <w:r>
        <w:rPr>
          <w:rStyle w:val="SectionNumber"/>
        </w:rPr>
        <w:t>13.17</w:t>
      </w:r>
      <w:r>
        <w:rPr/>
        <w:tab/>
        <w:t>Error Model</w:t>
      </w:r>
    </w:p>
    <w:p>
      <w:pPr>
        <w:pStyle w:val="FirstParagraph"/>
        <w:rPr/>
      </w:pPr>
      <w:r>
        <w:rPr/>
        <w:t>Every error shall follow a consistent structure:</w:t>
      </w:r>
    </w:p>
    <w:p>
      <w:pPr>
        <w:pStyle w:val="SourceCode"/>
        <w:rPr/>
      </w:pPr>
      <w:r>
        <w:rPr>
          <w:rStyle w:val="FunctionTok"/>
        </w:rPr>
        <w:t>{</w:t>
      </w:r>
      <w:r>
        <w:rPr/>
        <w:br/>
      </w:r>
      <w:r>
        <w:rPr>
          <w:rStyle w:val="NormalTok"/>
        </w:rPr>
        <w:t xml:space="preserve">  </w:t>
      </w:r>
      <w:r>
        <w:rPr>
          <w:rStyle w:val="DataTypeTok"/>
        </w:rPr>
        <w:t>"error"</w:t>
      </w:r>
      <w:r>
        <w:rPr>
          <w:rStyle w:val="FunctionTok"/>
        </w:rPr>
        <w:t>:</w:t>
      </w:r>
      <w:r>
        <w:rPr>
          <w:rStyle w:val="NormalTok"/>
        </w:rPr>
        <w:t xml:space="preserve"> </w:t>
      </w:r>
      <w:r>
        <w:rPr>
          <w:rStyle w:val="FunctionTok"/>
        </w:rPr>
        <w:t>{</w:t>
      </w:r>
      <w:r>
        <w:rPr/>
        <w:br/>
      </w:r>
      <w:r>
        <w:rPr>
          <w:rStyle w:val="NormalTok"/>
        </w:rPr>
        <w:t xml:space="preserve">    </w:t>
      </w:r>
      <w:r>
        <w:rPr>
          <w:rStyle w:val="DataTypeTok"/>
        </w:rPr>
        <w:t>"code"</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"details"</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"correlation_id"</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"timestamp"</w:t>
      </w:r>
      <w:r>
        <w:rPr>
          <w:rStyle w:val="FunctionTok"/>
        </w:rPr>
        <w:t>:</w:t>
      </w:r>
      <w:r>
        <w:rPr>
          <w:rStyle w:val="NormalTok"/>
        </w:rPr>
        <w:t xml:space="preserve"> </w:t>
      </w:r>
      <w:r>
        <w:rPr>
          <w:rStyle w:val="StringTok"/>
        </w:rPr>
        <w:t>""</w:t>
      </w:r>
      <w:r>
        <w:rPr/>
        <w:br/>
      </w:r>
      <w:r>
        <w:rPr>
          <w:rStyle w:val="NormalTok"/>
        </w:rPr>
        <w:t xml:space="preserve">  </w:t>
      </w:r>
      <w:r>
        <w:rPr>
          <w:rStyle w:val="FunctionTok"/>
        </w:rPr>
        <w:t>}</w:t>
      </w:r>
      <w:r>
        <w:rPr/>
        <w:br/>
      </w:r>
      <w:r>
        <w:rPr>
          <w:rStyle w:val="FunctionTok"/>
        </w:rPr>
        <w:t>}</w:t>
      </w:r>
      <w:bookmarkEnd w:id="150"/>
    </w:p>
    <w:p>
      <w:pPr>
        <w:pStyle w:val="Heading2"/>
        <w:rPr/>
      </w:pPr>
      <w:bookmarkStart w:id="151" w:name="validation-rules"/>
      <w:r>
        <w:rPr>
          <w:rStyle w:val="SectionNumber"/>
        </w:rPr>
        <w:t>13.18</w:t>
      </w:r>
      <w:r>
        <w:rPr/>
        <w:tab/>
        <w:t>Validation Rules</w:t>
      </w:r>
    </w:p>
    <w:p>
      <w:pPr>
        <w:pStyle w:val="FirstParagraph"/>
        <w:rPr/>
      </w:pPr>
      <w:bookmarkStart w:id="152" w:name="validation-rules"/>
      <w:r>
        <w:rPr/>
        <w:t>Coordinates must use WGS84, with latitude in the range −90 to +90 and longitude in the range −180 to +180. Version 1 processing shall be limited to coordinates within India; region-specific fields shall only be available when the coordinate falls inside the corresponding registered administrative boundary.</w:t>
      </w:r>
      <w:bookmarkEnd w:id="152"/>
    </w:p>
    <w:p>
      <w:pPr>
        <w:pStyle w:val="Heading2"/>
        <w:rPr/>
      </w:pPr>
      <w:bookmarkStart w:id="153" w:name="rate-limiting"/>
      <w:r>
        <w:rPr>
          <w:rStyle w:val="SectionNumber"/>
        </w:rPr>
        <w:t>13.19</w:t>
      </w:r>
      <w:r>
        <w:rPr/>
        <w:tab/>
        <w:t>Rate Limiting</w:t>
      </w:r>
    </w:p>
    <w:p>
      <w:pPr>
        <w:pStyle w:val="FirstParagraph"/>
        <w:rPr/>
      </w:pPr>
      <w:bookmarkStart w:id="154" w:name="rate-limiting"/>
      <w:r>
        <w:rPr/>
        <w:t>The API gateway shall support configurable, environment-specific rate limits. Future authentication tiers may define different request quotas.</w:t>
      </w:r>
      <w:bookmarkEnd w:id="154"/>
    </w:p>
    <w:p>
      <w:pPr>
        <w:pStyle w:val="Heading2"/>
        <w:rPr/>
      </w:pPr>
      <w:bookmarkStart w:id="155" w:name="authentication"/>
      <w:r>
        <w:rPr>
          <w:rStyle w:val="SectionNumber"/>
        </w:rPr>
        <w:t>13.20</w:t>
      </w:r>
      <w:r>
        <w:rPr/>
        <w:tab/>
        <w:t>Authentication</w:t>
      </w:r>
    </w:p>
    <w:p>
      <w:pPr>
        <w:pStyle w:val="FirstParagraph"/>
        <w:rPr/>
      </w:pPr>
      <w:bookmarkStart w:id="156" w:name="authentication"/>
      <w:r>
        <w:rPr/>
        <w:t>Version 1 APIs may be publicly accessible for development and testing. The architecture shall support future authentication mechanisms — API keys, OAuth 2.0, JWT, and service accounts — implemented at the gateway without changing endpoint contracts.</w:t>
      </w:r>
      <w:bookmarkEnd w:id="156"/>
    </w:p>
    <w:p>
      <w:pPr>
        <w:pStyle w:val="Heading2"/>
        <w:rPr/>
      </w:pPr>
      <w:bookmarkStart w:id="157" w:name="caching"/>
      <w:r>
        <w:rPr>
          <w:rStyle w:val="SectionNumber"/>
        </w:rPr>
        <w:t>13.21</w:t>
      </w:r>
      <w:r>
        <w:rPr/>
        <w:tab/>
        <w:t>Caching</w:t>
      </w:r>
    </w:p>
    <w:p>
      <w:pPr>
        <w:pStyle w:val="FirstParagraph"/>
        <w:rPr/>
      </w:pPr>
      <w:bookmarkStart w:id="158" w:name="caching"/>
      <w:r>
        <w:rPr/>
        <w:t>The API layer shall cache the metadata catalog, dataset metadata, field definitions, static administrative data, and frequently requested fetch responses (subject to dataset TTL). Each cached response shall respect the TTL defined in the active metadata catalog.</w:t>
      </w:r>
      <w:bookmarkEnd w:id="158"/>
    </w:p>
    <w:p>
      <w:pPr>
        <w:pStyle w:val="Heading2"/>
        <w:rPr/>
      </w:pPr>
      <w:bookmarkStart w:id="159" w:name="api-documentation"/>
      <w:r>
        <w:rPr>
          <w:rStyle w:val="SectionNumber"/>
        </w:rPr>
        <w:t>13.22</w:t>
      </w:r>
      <w:r>
        <w:rPr/>
        <w:tab/>
        <w:t>API Documentation</w:t>
      </w:r>
    </w:p>
    <w:p>
      <w:pPr>
        <w:pStyle w:val="FirstParagraph"/>
        <w:rPr/>
      </w:pPr>
      <w:bookmarkStart w:id="160" w:name="api-documentation"/>
      <w:r>
        <w:rPr/>
        <w:t>The platform shall automatically generate an OpenAPI specification, Swagger UI, and ReDoc documentation. Every endpoint shall include a description, request schema, response schema, example requests, example responses, error codes, supported fields, and related presets.</w:t>
      </w:r>
      <w:bookmarkEnd w:id="160"/>
    </w:p>
    <w:p>
      <w:pPr>
        <w:pStyle w:val="Heading2"/>
        <w:rPr/>
      </w:pPr>
      <w:bookmarkStart w:id="161" w:name="regional-availability-1"/>
      <w:r>
        <w:rPr>
          <w:rStyle w:val="SectionNumber"/>
        </w:rPr>
        <w:t>13.23</w:t>
      </w:r>
      <w:r>
        <w:rPr/>
        <w:tab/>
        <w:t>Regional Availability</w:t>
      </w:r>
    </w:p>
    <w:p>
      <w:pPr>
        <w:pStyle w:val="FirstParagraph"/>
        <w:rPr/>
      </w:pPr>
      <w:r>
        <w:rPr/>
        <w:t xml:space="preserve">Version 1 APIs shall support the active pilot region as the initial production coverage. The metadata catalog shall expose state-supported fields, region-only beta fields, and future planned fields for additional states. When requests fall outside the supported region, state-specific fields shall return null with the configured </w:t>
      </w:r>
      <w:r>
        <w:rPr>
          <w:rStyle w:val="VerbatimChar"/>
        </w:rPr>
        <w:t>null_meaning</w:t>
      </w:r>
      <w:r>
        <w:rPr/>
        <w:t xml:space="preserve">, while core national datasets (terrain, climate, land cover, natural hazards, and administrative hierarchy) shall continue to function where coverage exists. The pilot region is defined in the </w:t>
      </w:r>
      <w:r>
        <w:rPr>
          <w:i/>
          <w:iCs/>
        </w:rPr>
        <w:t>Telangana MVP</w:t>
      </w:r>
      <w:r>
        <w:rPr/>
        <w:t xml:space="preserve"> chapter.</w:t>
      </w:r>
      <w:bookmarkEnd w:id="131"/>
      <w:bookmarkEnd w:id="161"/>
    </w:p>
    <w:p>
      <w:pPr>
        <w:pStyle w:val="Heading1"/>
        <w:rPr/>
      </w:pPr>
      <w:bookmarkStart w:id="162" w:name="planner-architecture"/>
      <w:r>
        <w:rPr>
          <w:rStyle w:val="SectionNumber"/>
        </w:rPr>
        <w:t>14</w:t>
      </w:r>
      <w:r>
        <w:rPr/>
        <w:tab/>
        <w:t>Planner Architecture</w:t>
      </w:r>
    </w:p>
    <w:p>
      <w:pPr>
        <w:pStyle w:val="FirstParagraph"/>
        <w:rPr/>
      </w:pPr>
      <w:r>
        <w:rPr/>
        <w:t>The Planner is the intelligence orchestration component of the Prism Earth platform. It interprets a user’s natural language query and converts it into a deterministic execution plan without directly accessing any datasets or generating final answers. The Planner acts as the decision-making layer between the user interface and the Fetch Engine; its primary responsibility is to determine what information is required, not what the answer should be.</w:t>
      </w:r>
    </w:p>
    <w:p>
      <w:pPr>
        <w:pStyle w:val="BodyText"/>
        <w:rPr/>
      </w:pPr>
      <w:r>
        <w:rPr/>
        <w:t>Unlike conventional Retrieval-Augmented Generation (RAG) systems, the Planner never retrieves documents or performs semantic search. Instead, it reasons over the active metadata catalog and determines the minimum set of fields required to answer the user’s query accurately. The Planner is designed to ensure that every request is transparent, explainable, deterministic, and reproducible.</w:t>
      </w:r>
    </w:p>
    <w:p>
      <w:pPr>
        <w:pStyle w:val="Heading2"/>
        <w:rPr/>
      </w:pPr>
      <w:bookmarkStart w:id="163" w:name="objectives-2"/>
      <w:r>
        <w:rPr>
          <w:rStyle w:val="SectionNumber"/>
        </w:rPr>
        <w:t>14.1</w:t>
      </w:r>
      <w:r>
        <w:rPr/>
        <w:tab/>
        <w:t>Objectives</w:t>
      </w:r>
    </w:p>
    <w:p>
      <w:pPr>
        <w:pStyle w:val="FirstParagraph"/>
        <w:rPr/>
      </w:pPr>
      <w:bookmarkStart w:id="164" w:name="objectives-2"/>
      <w:r>
        <w:rPr/>
        <w:t>The Planner shall understand natural language geospatial queries, interpret user intent, analyze the metadata catalog, select only the required fields, minimize unnecessary dataset retrieval, produce deterministic execution plans, support preset selection where applicable, provide explainable planning decisions, reduce execution latency by avoiding unnecessary connector calls, and prevent hallucinations by restricting planning to the registered field catalog.</w:t>
      </w:r>
      <w:bookmarkEnd w:id="164"/>
    </w:p>
    <w:p>
      <w:pPr>
        <w:pStyle w:val="Heading2"/>
        <w:rPr/>
      </w:pPr>
      <w:bookmarkStart w:id="165" w:name="architectural-position"/>
      <w:r>
        <w:rPr>
          <w:rStyle w:val="SectionNumber"/>
        </w:rPr>
        <w:t>14.2</w:t>
      </w:r>
      <w:r>
        <w:rPr/>
        <w:tab/>
        <w:t>Architectural Position</w:t>
      </w:r>
    </w:p>
    <w:p>
      <w:pPr>
        <w:pStyle w:val="FirstParagraph"/>
        <w:rPr/>
      </w:pPr>
      <w:bookmarkStart w:id="166" w:name="architectural-position"/>
      <w:r>
        <w:rPr/>
        <w:t>The Planner is positioned between the API Gateway and the Fetch Engine, with read-only access to the active metadata catalog. It does not communicate directly with external datasets. The overall request flow is shown in the high-level system architecture diagram (Chapter 8).</w:t>
      </w:r>
      <w:bookmarkEnd w:id="166"/>
    </w:p>
    <w:p>
      <w:pPr>
        <w:pStyle w:val="Heading2"/>
        <w:rPr/>
      </w:pPr>
      <w:bookmarkStart w:id="167" w:name="responsibilities"/>
      <w:r>
        <w:rPr>
          <w:rStyle w:val="SectionNumber"/>
        </w:rPr>
        <w:t>14.3</w:t>
      </w:r>
      <w:r>
        <w:rPr/>
        <w:tab/>
        <w:t>Responsibilities</w:t>
      </w:r>
    </w:p>
    <w:p>
      <w:pPr>
        <w:pStyle w:val="FirstParagraph"/>
        <w:rPr/>
      </w:pPr>
      <w:r>
        <w:rPr/>
        <w:t>The Planner is responsible for parsing user questions, detecting geospatial intent, selecting required fields, identifying applicable presets, validating requested fields against the metadata catalog, detecting unsupported requests, producing execution plans, estimating connector requirements, and providing planning explanations for debugging.</w:t>
      </w:r>
    </w:p>
    <w:p>
      <w:pPr>
        <w:pStyle w:val="BodyText"/>
        <w:rPr/>
      </w:pPr>
      <w:r>
        <w:rPr/>
        <w:t xml:space="preserve">The Planner is </w:t>
      </w:r>
      <w:r>
        <w:rPr>
          <w:b/>
          <w:bCs/>
        </w:rPr>
        <w:t>not</w:t>
      </w:r>
      <w:r>
        <w:rPr/>
        <w:t xml:space="preserve"> responsible for dataset retrieval, citation generation, numerical calculations, risk scoring, natural language answer generation, dataset interpolation, or confidence estimation.</w:t>
      </w:r>
      <w:bookmarkEnd w:id="167"/>
    </w:p>
    <w:p>
      <w:pPr>
        <w:pStyle w:val="Heading2"/>
        <w:rPr/>
      </w:pPr>
      <w:bookmarkStart w:id="168" w:name="metadata-catalog-integration"/>
      <w:r>
        <w:rPr>
          <w:rStyle w:val="SectionNumber"/>
        </w:rPr>
        <w:t>14.4</w:t>
      </w:r>
      <w:r>
        <w:rPr/>
        <w:tab/>
        <w:t>Metadata Catalog Integration</w:t>
      </w:r>
    </w:p>
    <w:p>
      <w:pPr>
        <w:pStyle w:val="FirstParagraph"/>
        <w:rPr/>
      </w:pPr>
      <w:bookmarkStart w:id="169" w:name="metadata-catalog-integration"/>
      <w:r>
        <w:rPr/>
        <w:t>The active metadata catalog is the Planner’s only source of domain knowledge. It provides field definitions, logical data layers, predefined presets, dataset ownership, lifecycle information, availability flags, interpretation hints, units, null semantics, and source metadata. The Planner shall never reference fields that are not defined in the catalog.</w:t>
      </w:r>
      <w:bookmarkEnd w:id="169"/>
    </w:p>
    <w:p>
      <w:pPr>
        <w:pStyle w:val="Heading2"/>
        <w:rPr/>
      </w:pPr>
      <w:r>
        <w:rPr>
          <w:rStyle w:val="SectionNumber"/>
        </w:rPr>
        <w:t>14.5</w:t>
      </w:r>
      <w:r>
        <w:rPr/>
        <w:tab/>
        <w:t>Supported Layers</w:t>
      </w:r>
    </w:p>
    <w:p>
      <w:pPr>
        <w:pStyle w:val="FirstParagraph"/>
        <w:rPr/>
      </w:pPr>
      <w:r>
        <w:rPr/>
        <w:t>The Planner reasons across the following logical layers, with selection driven by the user’s intent.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Elevation, Slope, Aspect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Climate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Rainfall, Temperature, Wind Speed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 Cover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NDVI, Cropland, Forest Cover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Natural Hazard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Flood, Wildfire, Seismic</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Roads, Grid, Telecom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Administrative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District, Village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Cadastral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Parcel ID, Survey Number, Zoning</w:t>
            </w:r>
            <w:bookmarkStart w:id="170" w:name="supported-layers"/>
            <w:bookmarkEnd w:id="170"/>
          </w:p>
        </w:tc>
      </w:tr>
    </w:tbl>
    <w:p>
      <w:pPr>
        <w:pStyle w:val="Heading2"/>
        <w:rPr/>
      </w:pPr>
      <w:r>
        <w:rPr>
          <w:rStyle w:val="SectionNumber"/>
        </w:rPr>
        <w:t>14.6</w:t>
      </w:r>
      <w:r>
        <w:rPr/>
        <w:tab/>
        <w:t>Planner Workflow</w:t>
      </w:r>
    </w:p>
    <w:p>
      <w:pPr>
        <w:pStyle w:val="FirstParagraph"/>
        <w:rPr/>
      </w:pPr>
      <w:r>
        <w:rPr/>
        <w:t>The Planner executes the following stages, each producing structured outputs for debugging and observability: natural-language question → intent detection → metadata catalog lookup → relevant layer selection → field selection → preset optimization → execution plan generation → handoff to the Fetch Engine.</w:t>
      </w:r>
    </w:p>
    <w:p>
      <w:pPr>
        <w:pStyle w:val="Heading2"/>
        <w:rPr/>
      </w:pPr>
      <w:bookmarkStart w:id="171" w:name="intent-detection"/>
      <w:r>
        <w:rPr>
          <w:rStyle w:val="SectionNumber"/>
        </w:rPr>
        <w:t>14.7</w:t>
      </w:r>
      <w:r>
        <w:rPr/>
        <w:tab/>
        <w:t>Intent Detection</w:t>
      </w:r>
    </w:p>
    <w:p>
      <w:pPr>
        <w:pStyle w:val="FirstParagraph"/>
        <w:rPr/>
      </w:pPr>
      <w:bookmarkStart w:id="172" w:name="intent-detection"/>
      <w:r>
        <w:rPr/>
        <w:t>The Planner shall classify user queries into one or more intent categories, such as Terrain Analysis, Flood Assessment, Wildfire Assessment, Climate Analysis, Land Suitability, Infrastructure Planning, Administrative Lookup, Parcel Information, Renewable Energy Site Selection, and Environmental Assessment. A query may map to multiple categories.</w:t>
      </w:r>
      <w:bookmarkEnd w:id="172"/>
    </w:p>
    <w:p>
      <w:pPr>
        <w:pStyle w:val="Heading2"/>
        <w:rPr/>
      </w:pPr>
      <w:bookmarkStart w:id="173" w:name="field-selection-strategy"/>
      <w:r>
        <w:rPr>
          <w:rStyle w:val="SectionNumber"/>
        </w:rPr>
        <w:t>14.8</w:t>
      </w:r>
      <w:r>
        <w:rPr/>
        <w:tab/>
        <w:t>Field Selection Strategy</w:t>
      </w:r>
    </w:p>
    <w:p>
      <w:pPr>
        <w:pStyle w:val="FirstParagraph"/>
        <w:rPr/>
      </w:pPr>
      <w:r>
        <w:rPr/>
        <w:t xml:space="preserve">The Planner shall select the smallest possible set of fields required to answer the user’s query. For example, “What is the slope, elevation, and flood risk at this location?” yields </w:t>
      </w:r>
      <w:r>
        <w:rPr>
          <w:rStyle w:val="VerbatimChar"/>
        </w:rPr>
        <w:t>elevation</w:t>
      </w:r>
      <w:r>
        <w:rPr/>
        <w:t xml:space="preserve">, </w:t>
      </w:r>
      <w:r>
        <w:rPr>
          <w:rStyle w:val="VerbatimChar"/>
        </w:rPr>
        <w:t>slope</w:t>
      </w:r>
      <w:r>
        <w:rPr/>
        <w:t xml:space="preserve">, </w:t>
      </w:r>
      <w:r>
        <w:rPr>
          <w:rStyle w:val="VerbatimChar"/>
        </w:rPr>
        <w:t>flood_hazard_class</w:t>
      </w:r>
      <w:r>
        <w:rPr/>
        <w:t xml:space="preserve">, </w:t>
      </w:r>
      <w:r>
        <w:rPr>
          <w:rStyle w:val="VerbatimChar"/>
        </w:rPr>
        <w:t>within_flood_hazard_polygon</w:t>
      </w:r>
      <w:r>
        <w:rPr/>
        <w:t xml:space="preserve">, and </w:t>
      </w:r>
      <w:r>
        <w:rPr>
          <w:rStyle w:val="VerbatimChar"/>
        </w:rPr>
        <w:t>nearest_waterbody_distance_m</w:t>
      </w:r>
      <w:r>
        <w:rPr/>
        <w:t>. No unrelated fields shall be selected.</w:t>
      </w:r>
      <w:bookmarkEnd w:id="173"/>
    </w:p>
    <w:p>
      <w:pPr>
        <w:pStyle w:val="Heading2"/>
        <w:rPr/>
      </w:pPr>
      <w:bookmarkStart w:id="174" w:name="preset-optimization"/>
      <w:r>
        <w:rPr>
          <w:rStyle w:val="SectionNumber"/>
        </w:rPr>
        <w:t>14.9</w:t>
      </w:r>
      <w:r>
        <w:rPr/>
        <w:tab/>
        <w:t>Preset Optimization</w:t>
      </w:r>
    </w:p>
    <w:p>
      <w:pPr>
        <w:pStyle w:val="FirstParagraph"/>
        <w:rPr/>
      </w:pPr>
      <w:bookmarkStart w:id="175" w:name="preset-optimization"/>
      <w:r>
        <w:rPr/>
        <w:t>The Planner shall evaluate whether a predefined preset satisfies the user’s requirements. For example, “Evaluate this location for solar farm development” may resolve to the Solar Siting preset rather than dozens of individual fields. If no preset fully satisfies the query, the Planner shall generate a custom field list.</w:t>
      </w:r>
      <w:bookmarkEnd w:id="175"/>
    </w:p>
    <w:p>
      <w:pPr>
        <w:pStyle w:val="Heading2"/>
        <w:rPr/>
      </w:pPr>
      <w:bookmarkStart w:id="176" w:name="lifecycle-awareness"/>
      <w:r>
        <w:rPr>
          <w:rStyle w:val="SectionNumber"/>
        </w:rPr>
        <w:t>14.10</w:t>
      </w:r>
      <w:r>
        <w:rPr/>
        <w:tab/>
        <w:t>Lifecycle Awareness</w:t>
      </w:r>
    </w:p>
    <w:p>
      <w:pPr>
        <w:pStyle w:val="FirstParagraph"/>
        <w:rPr/>
      </w:pPr>
      <w:bookmarkStart w:id="177" w:name="lifecycle-awareness"/>
      <w:r>
        <w:rPr/>
        <w:t>Every field has a lifecycle status of Stable, Beta, or Planned. Stable fields may always be selected; Beta fields may only be selected when available for the detected region; Planned fields shall never be selected. This prevents requests for unsupported datasets.</w:t>
      </w:r>
      <w:bookmarkEnd w:id="177"/>
    </w:p>
    <w:p>
      <w:pPr>
        <w:pStyle w:val="Heading2"/>
        <w:rPr/>
      </w:pPr>
      <w:bookmarkStart w:id="178" w:name="state-awareness"/>
      <w:r>
        <w:rPr>
          <w:rStyle w:val="SectionNumber"/>
        </w:rPr>
        <w:t>14.11</w:t>
      </w:r>
      <w:r>
        <w:rPr/>
        <w:tab/>
        <w:t>State Awareness</w:t>
      </w:r>
    </w:p>
    <w:p>
      <w:pPr>
        <w:pStyle w:val="FirstParagraph"/>
        <w:rPr/>
      </w:pPr>
      <w:bookmarkStart w:id="179" w:name="state-awareness"/>
      <w:r>
        <w:rPr/>
        <w:t>The Planner shall detect whether coordinates fall inside a supported region, enable region-specific fields when applicable, exclude region-only fields for unsupported states, and produce informative planning warnings when requested fields are unavailable. This architecture enables future expansion to additional states without changes to planning logic.</w:t>
      </w:r>
      <w:bookmarkEnd w:id="179"/>
    </w:p>
    <w:p>
      <w:pPr>
        <w:pStyle w:val="Heading2"/>
        <w:rPr/>
      </w:pPr>
      <w:bookmarkStart w:id="180" w:name="planning-constraints"/>
      <w:r>
        <w:rPr>
          <w:rStyle w:val="SectionNumber"/>
        </w:rPr>
        <w:t>14.12</w:t>
      </w:r>
      <w:r>
        <w:rPr/>
        <w:tab/>
        <w:t>Planning Constraints</w:t>
      </w:r>
    </w:p>
    <w:p>
      <w:pPr>
        <w:pStyle w:val="FirstParagraph"/>
        <w:rPr/>
      </w:pPr>
      <w:bookmarkStart w:id="181" w:name="planning-constraints"/>
      <w:r>
        <w:rPr/>
        <w:t>The Planner shall never query datasets, call Google Earth Engine, access PostGIS, estimate values, fabricate fields, generate citations, generate final answers, modify metadata, or ignore lifecycle restrictions. It is strictly a planning component.</w:t>
      </w:r>
      <w:bookmarkEnd w:id="181"/>
    </w:p>
    <w:p>
      <w:pPr>
        <w:pStyle w:val="Heading2"/>
        <w:rPr/>
      </w:pPr>
      <w:bookmarkStart w:id="182" w:name="planner-output-schema"/>
      <w:r>
        <w:rPr>
          <w:rStyle w:val="SectionNumber"/>
        </w:rPr>
        <w:t>14.13</w:t>
      </w:r>
      <w:r>
        <w:rPr/>
        <w:tab/>
        <w:t>Planner Output Schema</w:t>
      </w:r>
    </w:p>
    <w:p>
      <w:pPr>
        <w:pStyle w:val="FirstParagraph"/>
        <w:rPr/>
      </w:pPr>
      <w:r>
        <w:rPr/>
        <w:t>The Planner shall produce a structured execution plan, which is passed unchanged to the Fetch Engine:</w:t>
      </w:r>
    </w:p>
    <w:p>
      <w:pPr>
        <w:pStyle w:val="SourceCode"/>
        <w:rPr/>
      </w:pPr>
      <w:r>
        <w:rPr>
          <w:rStyle w:val="FunctionTok"/>
        </w:rPr>
        <w:t>{</w:t>
      </w:r>
      <w:r>
        <w:rPr/>
        <w:br/>
      </w:r>
      <w:r>
        <w:rPr>
          <w:rStyle w:val="NormalTok"/>
        </w:rPr>
        <w:t xml:space="preserve">  </w:t>
      </w:r>
      <w:r>
        <w:rPr>
          <w:rStyle w:val="DataTypeTok"/>
        </w:rPr>
        <w:t>"intent"</w:t>
      </w:r>
      <w:r>
        <w:rPr>
          <w:rStyle w:val="FunctionTok"/>
        </w:rPr>
        <w:t>:</w:t>
      </w:r>
      <w:r>
        <w:rPr>
          <w:rStyle w:val="NormalTok"/>
        </w:rPr>
        <w:t xml:space="preserve"> </w:t>
      </w:r>
      <w:r>
        <w:rPr>
          <w:rStyle w:val="StringTok"/>
        </w:rPr>
        <w:t>"Flood Assessment"</w:t>
      </w:r>
      <w:r>
        <w:rPr>
          <w:rStyle w:val="FunctionTok"/>
        </w:rPr>
        <w:t>,</w:t>
      </w:r>
      <w:r>
        <w:rPr/>
        <w:br/>
      </w:r>
      <w:r>
        <w:rPr>
          <w:rStyle w:val="NormalTok"/>
        </w:rPr>
        <w:t xml:space="preserve">  </w:t>
      </w:r>
      <w:r>
        <w:rPr>
          <w:rStyle w:val="DataTypeTok"/>
        </w:rPr>
        <w:t>"presets"</w:t>
      </w:r>
      <w:r>
        <w:rPr>
          <w:rStyle w:val="FunctionTok"/>
        </w:rPr>
        <w:t>:</w:t>
      </w:r>
      <w:r>
        <w:rPr>
          <w:rStyle w:val="NormalTok"/>
        </w:rPr>
        <w:t xml:space="preserve"> </w:t>
      </w:r>
      <w:r>
        <w:rPr>
          <w:rStyle w:val="OtherTok"/>
        </w:rPr>
        <w:t>[</w:t>
      </w:r>
      <w:r>
        <w:rPr>
          <w:rStyle w:val="StringTok"/>
        </w:rPr>
        <w:t>"Flood Risk"</w:t>
      </w:r>
      <w:r>
        <w:rPr>
          <w:rStyle w:val="OtherTok"/>
        </w:rPr>
        <w:t>]</w:t>
      </w:r>
      <w:r>
        <w:rPr>
          <w:rStyle w:val="FunctionTok"/>
        </w:rPr>
        <w:t>,</w:t>
      </w:r>
      <w:r>
        <w:rPr/>
        <w:br/>
      </w:r>
      <w:r>
        <w:rPr>
          <w:rStyle w:val="NormalTok"/>
        </w:rPr>
        <w:t xml:space="preserve">  </w:t>
      </w:r>
      <w:r>
        <w:rPr>
          <w:rStyle w:val="DataTypeTok"/>
        </w:rPr>
        <w:t>"fields"</w:t>
      </w:r>
      <w:r>
        <w:rPr>
          <w:rStyle w:val="FunctionTok"/>
        </w:rPr>
        <w:t>:</w:t>
      </w:r>
      <w:r>
        <w:rPr>
          <w:rStyle w:val="NormalTok"/>
        </w:rPr>
        <w:t xml:space="preserve"> </w:t>
      </w:r>
      <w:r>
        <w:rPr>
          <w:rStyle w:val="OtherTok"/>
        </w:rPr>
        <w:t>[</w:t>
      </w:r>
      <w:r>
        <w:rPr/>
        <w:br/>
      </w:r>
      <w:r>
        <w:rPr>
          <w:rStyle w:val="NormalTok"/>
        </w:rPr>
        <w:t xml:space="preserve">    </w:t>
      </w:r>
      <w:r>
        <w:rPr>
          <w:rStyle w:val="StringTok"/>
        </w:rPr>
        <w:t>"within_flood_hazard_polygon"</w:t>
      </w:r>
      <w:r>
        <w:rPr>
          <w:rStyle w:val="OtherTok"/>
        </w:rPr>
        <w:t>,</w:t>
      </w:r>
      <w:r>
        <w:rPr/>
        <w:br/>
      </w:r>
      <w:r>
        <w:rPr>
          <w:rStyle w:val="NormalTok"/>
        </w:rPr>
        <w:t xml:space="preserve">    </w:t>
      </w:r>
      <w:r>
        <w:rPr>
          <w:rStyle w:val="StringTok"/>
        </w:rPr>
        <w:t>"flood_hazard_class"</w:t>
      </w:r>
      <w:r>
        <w:rPr>
          <w:rStyle w:val="OtherTok"/>
        </w:rPr>
        <w:t>,</w:t>
      </w:r>
      <w:r>
        <w:rPr/>
        <w:br/>
      </w:r>
      <w:r>
        <w:rPr>
          <w:rStyle w:val="NormalTok"/>
        </w:rPr>
        <w:t xml:space="preserve">    </w:t>
      </w:r>
      <w:r>
        <w:rPr>
          <w:rStyle w:val="StringTok"/>
        </w:rPr>
        <w:t>"nearest_waterbody_distance_m"</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"layers"</w:t>
      </w:r>
      <w:r>
        <w:rPr>
          <w:rStyle w:val="FunctionTok"/>
        </w:rPr>
        <w:t>:</w:t>
      </w:r>
      <w:r>
        <w:rPr>
          <w:rStyle w:val="NormalTok"/>
        </w:rPr>
        <w:t xml:space="preserve"> </w:t>
      </w:r>
      <w:r>
        <w:rPr>
          <w:rStyle w:val="OtherTok"/>
        </w:rPr>
        <w:t>[</w:t>
      </w:r>
      <w:r>
        <w:rPr>
          <w:rStyle w:val="StringTok"/>
        </w:rPr>
        <w:t>"Natural Hazard"</w:t>
      </w:r>
      <w:r>
        <w:rPr>
          <w:rStyle w:val="OtherTok"/>
        </w:rPr>
        <w:t>,</w:t>
      </w:r>
      <w:r>
        <w:rPr>
          <w:rStyle w:val="NormalTok"/>
        </w:rPr>
        <w:t xml:space="preserve"> </w:t>
      </w:r>
      <w:r>
        <w:rPr>
          <w:rStyle w:val="StringTok"/>
        </w:rPr>
        <w:t>"Terrain"</w:t>
      </w:r>
      <w:r>
        <w:rPr>
          <w:rStyle w:val="OtherTok"/>
        </w:rPr>
        <w:t>]</w:t>
      </w:r>
      <w:r>
        <w:rPr>
          <w:rStyle w:val="FunctionTok"/>
        </w:rPr>
        <w:t>,</w:t>
      </w:r>
      <w:r>
        <w:rPr/>
        <w:br/>
      </w:r>
      <w:r>
        <w:rPr>
          <w:rStyle w:val="NormalTok"/>
        </w:rPr>
        <w:t xml:space="preserve">  </w:t>
      </w:r>
      <w:r>
        <w:rPr>
          <w:rStyle w:val="DataTypeTok"/>
        </w:rPr>
        <w:t>"connectors"</w:t>
      </w:r>
      <w:r>
        <w:rPr>
          <w:rStyle w:val="FunctionTok"/>
        </w:rPr>
        <w:t>:</w:t>
      </w:r>
      <w:r>
        <w:rPr>
          <w:rStyle w:val="NormalTok"/>
        </w:rPr>
        <w:t xml:space="preserve"> </w:t>
      </w:r>
      <w:r>
        <w:rPr>
          <w:rStyle w:val="OtherTok"/>
        </w:rPr>
        <w:t>[</w:t>
      </w:r>
      <w:r>
        <w:rPr>
          <w:rStyle w:val="StringTok"/>
        </w:rPr>
        <w:t>"FloodConnector"</w:t>
      </w:r>
      <w:r>
        <w:rPr>
          <w:rStyle w:val="OtherTok"/>
        </w:rPr>
        <w:t>,</w:t>
      </w:r>
      <w:r>
        <w:rPr>
          <w:rStyle w:val="NormalTok"/>
        </w:rPr>
        <w:t xml:space="preserve"> </w:t>
      </w:r>
      <w:r>
        <w:rPr>
          <w:rStyle w:val="StringTok"/>
        </w:rPr>
        <w:t>"TerrainConnector"</w:t>
      </w:r>
      <w:r>
        <w:rPr>
          <w:rStyle w:val="OtherTok"/>
        </w:rPr>
        <w:t>]</w:t>
      </w:r>
      <w:r>
        <w:rPr>
          <w:rStyle w:val="FunctionTok"/>
        </w:rPr>
        <w:t>,</w:t>
      </w:r>
      <w:r>
        <w:rPr/>
        <w:br/>
      </w:r>
      <w:r>
        <w:rPr>
          <w:rStyle w:val="NormalTok"/>
        </w:rPr>
        <w:t xml:space="preserve">  </w:t>
      </w:r>
      <w:r>
        <w:rPr>
          <w:rStyle w:val="DataTypeTok"/>
        </w:rPr>
        <w:t>"planning_reason"</w:t>
      </w:r>
      <w:r>
        <w:rPr>
          <w:rStyle w:val="FunctionTok"/>
        </w:rPr>
        <w:t>:</w:t>
      </w:r>
      <w:r>
        <w:rPr>
          <w:rStyle w:val="NormalTok"/>
        </w:rPr>
        <w:t xml:space="preserve"> </w:t>
      </w:r>
      <w:r>
        <w:rPr>
          <w:rStyle w:val="StringTok"/>
        </w:rPr>
        <w:t>"Flood assessment requires flood hazard polygons, terrain characteristics, and proximity to water bodies."</w:t>
      </w:r>
      <w:r>
        <w:rPr/>
        <w:br/>
      </w:r>
      <w:r>
        <w:rPr>
          <w:rStyle w:val="FunctionTok"/>
        </w:rPr>
        <w:t>}</w:t>
      </w:r>
      <w:bookmarkEnd w:id="182"/>
    </w:p>
    <w:p>
      <w:pPr>
        <w:pStyle w:val="Heading2"/>
        <w:rPr/>
      </w:pPr>
      <w:bookmarkStart w:id="183" w:name="prompt-engineering"/>
      <w:r>
        <w:rPr>
          <w:rStyle w:val="SectionNumber"/>
        </w:rPr>
        <w:t>14.14</w:t>
      </w:r>
      <w:r>
        <w:rPr/>
        <w:tab/>
        <w:t>Prompt Engineering</w:t>
      </w:r>
    </w:p>
    <w:p>
      <w:pPr>
        <w:pStyle w:val="FirstParagraph"/>
        <w:rPr/>
      </w:pPr>
      <w:bookmarkStart w:id="184" w:name="prompt-engineering"/>
      <w:r>
        <w:rPr/>
        <w:t>The Planner shall use a controlled system prompt containing platform capabilities, the metadata catalog, layer definitions, preset definitions, planning rules, lifecycle constraints, and anti-hallucination instructions. The system prompt shall be version-controlled and maintained alongside the application code.</w:t>
      </w:r>
      <w:bookmarkEnd w:id="184"/>
    </w:p>
    <w:p>
      <w:pPr>
        <w:pStyle w:val="Heading2"/>
        <w:rPr/>
      </w:pPr>
      <w:bookmarkStart w:id="185" w:name="anti-hallucination-rules"/>
      <w:r>
        <w:rPr>
          <w:rStyle w:val="SectionNumber"/>
        </w:rPr>
        <w:t>14.15</w:t>
      </w:r>
      <w:r>
        <w:rPr/>
        <w:tab/>
        <w:t>Anti-Hallucination Rules</w:t>
      </w:r>
    </w:p>
    <w:p>
      <w:pPr>
        <w:pStyle w:val="FirstParagraph"/>
        <w:rPr/>
      </w:pPr>
      <w:bookmarkStart w:id="186" w:name="anti-hallucination-rules"/>
      <w:r>
        <w:rPr/>
        <w:t>The Planner shall use only fields defined in the metadata catalog and shall never invent datasets, connectors, or presets; never assume missing metadata; never infer unsupported capabilities; never bypass lifecycle restrictions; and never create synthetic field names. If the required information is unavailable, the Planner shall indicate that the request cannot be fulfilled using the current dataset catalog.</w:t>
      </w:r>
      <w:bookmarkEnd w:id="186"/>
    </w:p>
    <w:p>
      <w:pPr>
        <w:pStyle w:val="Heading2"/>
        <w:rPr/>
      </w:pPr>
      <w:bookmarkStart w:id="187" w:name="performance-optimization"/>
      <w:r>
        <w:rPr>
          <w:rStyle w:val="SectionNumber"/>
        </w:rPr>
        <w:t>14.16</w:t>
      </w:r>
      <w:r>
        <w:rPr/>
        <w:tab/>
        <w:t>Performance Optimization</w:t>
      </w:r>
    </w:p>
    <w:p>
      <w:pPr>
        <w:pStyle w:val="FirstParagraph"/>
        <w:rPr/>
      </w:pPr>
      <w:bookmarkStart w:id="188" w:name="performance-optimization"/>
      <w:r>
        <w:rPr/>
        <w:t>To minimize latency and LLM cost, the metadata catalog shall be cached in memory, prompt caching shall be enabled where supported, preset matching shall be performed before individual field selection, and frequently used planning patterns may be cached. Planning latency should be significantly lower than dataset retrieval latency.</w:t>
      </w:r>
      <w:bookmarkEnd w:id="188"/>
    </w:p>
    <w:p>
      <w:pPr>
        <w:pStyle w:val="Heading2"/>
        <w:rPr/>
      </w:pPr>
      <w:bookmarkStart w:id="189" w:name="explainability"/>
      <w:r>
        <w:rPr>
          <w:rStyle w:val="SectionNumber"/>
        </w:rPr>
        <w:t>14.17</w:t>
      </w:r>
      <w:r>
        <w:rPr/>
        <w:tab/>
        <w:t>Explainability</w:t>
      </w:r>
    </w:p>
    <w:p>
      <w:pPr>
        <w:pStyle w:val="FirstParagraph"/>
        <w:rPr/>
      </w:pPr>
      <w:bookmarkStart w:id="190" w:name="explainability"/>
      <w:r>
        <w:rPr/>
        <w:t>Every planning decision shall be explainable. For each execution plan, the Planner shall record detected intent, selected presets, selected fields, selected layers, required connectors, planning rationale, and planning duration. These details shall be exposed through the execution trace.</w:t>
      </w:r>
      <w:bookmarkEnd w:id="190"/>
    </w:p>
    <w:p>
      <w:pPr>
        <w:pStyle w:val="Heading2"/>
        <w:rPr/>
      </w:pPr>
      <w:bookmarkStart w:id="191" w:name="planner-observability"/>
      <w:r>
        <w:rPr>
          <w:rStyle w:val="SectionNumber"/>
        </w:rPr>
        <w:t>14.18</w:t>
      </w:r>
      <w:r>
        <w:rPr/>
        <w:tab/>
        <w:t>Planner Observability</w:t>
      </w:r>
    </w:p>
    <w:p>
      <w:pPr>
        <w:pStyle w:val="FirstParagraph"/>
        <w:rPr/>
      </w:pPr>
      <w:bookmarkStart w:id="192" w:name="planner-observability"/>
      <w:r>
        <w:rPr/>
        <w:t>The Planner shall emit structured telemetry, including planning latency, token usage, prompt cache hit rate, intent distribution, preset utilization, field selection frequency, and planning failures. Logs shall include correlation IDs to trace requests across the system.</w:t>
      </w:r>
      <w:bookmarkEnd w:id="192"/>
    </w:p>
    <w:p>
      <w:pPr>
        <w:pStyle w:val="Heading2"/>
        <w:rPr/>
      </w:pPr>
      <w:bookmarkStart w:id="193" w:name="future-enhancements"/>
      <w:r>
        <w:rPr>
          <w:rStyle w:val="SectionNumber"/>
        </w:rPr>
        <w:t>14.19</w:t>
      </w:r>
      <w:r>
        <w:rPr/>
        <w:tab/>
        <w:t>Future Enhancements</w:t>
      </w:r>
    </w:p>
    <w:p>
      <w:pPr>
        <w:pStyle w:val="FirstParagraph"/>
        <w:rPr/>
      </w:pPr>
      <w:bookmarkStart w:id="194" w:name="planner-architecture"/>
      <w:bookmarkStart w:id="195" w:name="future-enhancements"/>
      <w:r>
        <w:rPr/>
        <w:t>The Planner architecture shall support, without redesign, multi-turn conversational planning, batch query planning, workflow planning for complex analyses, multi-agent orchestration, state-specific planning strategies, user-defined presets, dynamic field weighting, and automatic optimization based on dataset health.</w:t>
      </w:r>
      <w:bookmarkEnd w:id="194"/>
      <w:bookmarkEnd w:id="195"/>
    </w:p>
    <w:p>
      <w:pPr>
        <w:pStyle w:val="Heading1"/>
        <w:rPr/>
      </w:pPr>
      <w:bookmarkStart w:id="196" w:name="fetch-engine"/>
      <w:r>
        <w:rPr>
          <w:rStyle w:val="SectionNumber"/>
        </w:rPr>
        <w:t>15</w:t>
      </w:r>
      <w:r>
        <w:rPr/>
        <w:tab/>
        <w:t>Fetch Engine</w:t>
      </w:r>
    </w:p>
    <w:p>
      <w:pPr>
        <w:pStyle w:val="FirstParagraph"/>
        <w:rPr/>
      </w:pPr>
      <w:r>
        <w:rPr/>
        <w:t>The Fetch Engine is the deterministic execution core of the Prism Earth platform. It retrieves all requested geospatial information from registered datasets after receiving an execution plan from the Planner. Whereas the Planner decides what information is required, the Fetch Engine retrieves that information accurately, efficiently, and transparently.</w:t>
      </w:r>
    </w:p>
    <w:p>
      <w:pPr>
        <w:pStyle w:val="BodyText"/>
        <w:rPr/>
      </w:pPr>
      <w:r>
        <w:rPr/>
        <w:t>The Fetch Engine contains no Artificial Intelligence logic. It is a deterministic orchestration layer that coordinates multiple geospatial connectors, executes them concurrently, validates responses, and returns standardized field objects with complete provenance. Every response it generates must be deterministic, traceable, auditable, reproducible, and explainable.</w:t>
      </w:r>
    </w:p>
    <w:p>
      <w:pPr>
        <w:pStyle w:val="Heading2"/>
        <w:rPr/>
      </w:pPr>
      <w:bookmarkStart w:id="197" w:name="objectives-3"/>
      <w:r>
        <w:rPr>
          <w:rStyle w:val="SectionNumber"/>
        </w:rPr>
        <w:t>15.1</w:t>
      </w:r>
      <w:r>
        <w:rPr/>
        <w:tab/>
        <w:t>Objectives</w:t>
      </w:r>
    </w:p>
    <w:p>
      <w:pPr>
        <w:pStyle w:val="FirstParagraph"/>
        <w:rPr/>
      </w:pPr>
      <w:bookmarkStart w:id="198" w:name="objectives-3"/>
      <w:r>
        <w:rPr/>
        <w:t>The Fetch Engine shall execute Planner-generated execution plans, validate requested fields, validate geographic coordinates, detect supported state boundaries, route requests to appropriate dataset connectors, execute multiple connectors concurrently, aggregate results into a unified response, generate provenance information, detect and report partial failures, maintain deterministic execution, and support future expansion to all Indian states.</w:t>
      </w:r>
      <w:bookmarkEnd w:id="198"/>
    </w:p>
    <w:p>
      <w:pPr>
        <w:pStyle w:val="Heading2"/>
        <w:rPr/>
      </w:pPr>
      <w:bookmarkStart w:id="199" w:name="architectural-position-1"/>
      <w:r>
        <w:rPr>
          <w:rStyle w:val="SectionNumber"/>
        </w:rPr>
        <w:t>15.2</w:t>
      </w:r>
      <w:r>
        <w:rPr/>
        <w:tab/>
        <w:t>Architectural Position</w:t>
      </w:r>
    </w:p>
    <w:p>
      <w:pPr>
        <w:pStyle w:val="FirstParagraph"/>
        <w:rPr/>
      </w:pPr>
      <w:bookmarkStart w:id="200" w:name="architectural-position-1"/>
      <w:r>
        <w:rPr/>
        <w:t>The Fetch Engine is positioned between the Planner and the Citation Engine. It receives the execution plan, fans out to the relevant dataset connectors in parallel, aggregates their results, and hands provenance-annotated field objects to the Provenance Generator and Citation Engine, as depicted in the high-level system architecture diagram (Chapter 8). The Fetch Engine is entirely deterministic and does not communicate with any Large Language Model.</w:t>
      </w:r>
      <w:bookmarkEnd w:id="200"/>
    </w:p>
    <w:p>
      <w:pPr>
        <w:pStyle w:val="Heading2"/>
        <w:rPr/>
      </w:pPr>
      <w:bookmarkStart w:id="201" w:name="responsibilities-1"/>
      <w:r>
        <w:rPr>
          <w:rStyle w:val="SectionNumber"/>
        </w:rPr>
        <w:t>15.3</w:t>
      </w:r>
      <w:r>
        <w:rPr/>
        <w:tab/>
        <w:t>Responsibilities</w:t>
      </w:r>
    </w:p>
    <w:p>
      <w:pPr>
        <w:pStyle w:val="FirstParagraph"/>
        <w:rPr/>
      </w:pPr>
      <w:r>
        <w:rPr/>
        <w:t>The Fetch Engine is responsible for coordinate validation, India boundary validation, state detection, field validation, lifecycle validation, preset expansion, connector routing, parallel connector execution, result aggregation, provenance generation, partial-failure handling, cache management, and execution metrics.</w:t>
      </w:r>
    </w:p>
    <w:p>
      <w:pPr>
        <w:pStyle w:val="BodyText"/>
        <w:rPr/>
      </w:pPr>
      <w:bookmarkStart w:id="202" w:name="responsibilities-1"/>
      <w:r>
        <w:rPr/>
        <w:t>The Fetch Engine shall never generate answers, interpret data, perform AI reasoning, generate citations, modify dataset values, or predict missing values.</w:t>
      </w:r>
      <w:bookmarkEnd w:id="202"/>
    </w:p>
    <w:p>
      <w:pPr>
        <w:pStyle w:val="Heading2"/>
        <w:rPr/>
      </w:pPr>
      <w:bookmarkStart w:id="203" w:name="execution-workflow"/>
      <w:r>
        <w:rPr>
          <w:rStyle w:val="SectionNumber"/>
        </w:rPr>
        <w:t>15.4</w:t>
      </w:r>
      <w:r>
        <w:rPr/>
        <w:tab/>
        <w:t>Execution Workflow</w:t>
      </w:r>
    </w:p>
    <w:p>
      <w:pPr>
        <w:pStyle w:val="FirstParagraph"/>
        <w:rPr/>
      </w:pPr>
      <w:bookmarkStart w:id="204" w:name="execution-workflow"/>
      <w:r>
        <w:rPr/>
        <w:t>The Fetch Engine follows this workflow, with each stage independently observable through logs and metrics: Planner output → coordinate validation → state detection → field validation → preset expansion → connector routing → parallel connector execution → response aggregation → provenance generation → return structured response.</w:t>
      </w:r>
      <w:bookmarkEnd w:id="204"/>
    </w:p>
    <w:p>
      <w:pPr>
        <w:pStyle w:val="Heading2"/>
        <w:rPr/>
      </w:pPr>
      <w:bookmarkStart w:id="205" w:name="metadata-validation"/>
      <w:r>
        <w:rPr>
          <w:rStyle w:val="SectionNumber"/>
        </w:rPr>
        <w:t>15.5</w:t>
      </w:r>
      <w:r>
        <w:rPr/>
        <w:tab/>
        <w:t>Metadata Validation</w:t>
      </w:r>
    </w:p>
    <w:p>
      <w:pPr>
        <w:pStyle w:val="FirstParagraph"/>
        <w:rPr/>
      </w:pPr>
      <w:bookmarkStart w:id="206" w:name="metadata-validation"/>
      <w:r>
        <w:rPr/>
        <w:t>Before contacting any external dataset, the Fetch Engine shall validate the execution plan against the active metadata catalog, checking field existence, field lifecycle, availability status, state support, required connectors, and dataset ownership. Fields marked as Planned shall be rejected before execution.</w:t>
      </w:r>
      <w:bookmarkEnd w:id="206"/>
    </w:p>
    <w:p>
      <w:pPr>
        <w:pStyle w:val="Heading2"/>
        <w:rPr/>
      </w:pPr>
      <w:bookmarkStart w:id="207" w:name="coordinate-validation"/>
      <w:r>
        <w:rPr>
          <w:rStyle w:val="SectionNumber"/>
        </w:rPr>
        <w:t>15.6</w:t>
      </w:r>
      <w:r>
        <w:rPr/>
        <w:tab/>
        <w:t>Coordinate Validation</w:t>
      </w:r>
    </w:p>
    <w:p>
      <w:pPr>
        <w:pStyle w:val="FirstParagraph"/>
        <w:rPr/>
      </w:pPr>
      <w:bookmarkStart w:id="208" w:name="coordinate-validation"/>
      <w:r>
        <w:rPr/>
        <w:t>Coordinates shall be validated before execution, covering latitude range, longitude range, WGS84 format, India boundary, and the active pilot-region boundary (Version 1). Coordinates outside the supported coverage shall return a structured validation error.</w:t>
      </w:r>
      <w:bookmarkEnd w:id="208"/>
    </w:p>
    <w:p>
      <w:pPr>
        <w:pStyle w:val="Heading2"/>
        <w:rPr/>
      </w:pPr>
      <w:bookmarkStart w:id="209" w:name="state-detection"/>
      <w:r>
        <w:rPr>
          <w:rStyle w:val="SectionNumber"/>
        </w:rPr>
        <w:t>15.7</w:t>
      </w:r>
      <w:r>
        <w:rPr/>
        <w:tab/>
        <w:t>State Detection</w:t>
      </w:r>
    </w:p>
    <w:p>
      <w:pPr>
        <w:pStyle w:val="FirstParagraph"/>
        <w:rPr/>
      </w:pPr>
      <w:bookmarkStart w:id="210" w:name="state-detection"/>
      <w:r>
        <w:rPr/>
        <w:t>The Fetch Engine shall determine the administrative region containing the requested coordinates, resolving India boundary → state boundary → district → taluk → village. Version 1 supports the active pilot region; future versions shall support additional states through the State Registry.</w:t>
      </w:r>
      <w:bookmarkEnd w:id="210"/>
    </w:p>
    <w:p>
      <w:pPr>
        <w:pStyle w:val="Heading2"/>
        <w:rPr/>
      </w:pPr>
      <w:bookmarkStart w:id="211" w:name="preset-expansion"/>
      <w:r>
        <w:rPr>
          <w:rStyle w:val="SectionNumber"/>
        </w:rPr>
        <w:t>15.8</w:t>
      </w:r>
      <w:r>
        <w:rPr/>
        <w:tab/>
        <w:t>Preset Expansion</w:t>
      </w:r>
    </w:p>
    <w:p>
      <w:pPr>
        <w:pStyle w:val="FirstParagraph"/>
        <w:rPr/>
      </w:pPr>
      <w:r>
        <w:rPr/>
        <w:t xml:space="preserve">The Planner may request a preset instead of individual fields. The Fetch Engine shall expand the preset into the corresponding catalog fields before connector routing. For example, the Terrain preset expands to </w:t>
      </w:r>
      <w:r>
        <w:rPr>
          <w:rStyle w:val="VerbatimChar"/>
        </w:rPr>
        <w:t>elevation</w:t>
      </w:r>
      <w:r>
        <w:rPr/>
        <w:t xml:space="preserve">, </w:t>
      </w:r>
      <w:r>
        <w:rPr>
          <w:rStyle w:val="VerbatimChar"/>
        </w:rPr>
        <w:t>slope</w:t>
      </w:r>
      <w:r>
        <w:rPr/>
        <w:t xml:space="preserve">, </w:t>
      </w:r>
      <w:r>
        <w:rPr>
          <w:rStyle w:val="VerbatimChar"/>
        </w:rPr>
        <w:t>aspect</w:t>
      </w:r>
      <w:r>
        <w:rPr/>
        <w:t xml:space="preserve">, </w:t>
      </w:r>
      <w:r>
        <w:rPr>
          <w:rStyle w:val="VerbatimChar"/>
        </w:rPr>
        <w:t>terrain_roughness</w:t>
      </w:r>
      <w:r>
        <w:rPr/>
        <w:t xml:space="preserve">, </w:t>
      </w:r>
      <w:r>
        <w:rPr>
          <w:rStyle w:val="VerbatimChar"/>
        </w:rPr>
        <w:t>topographic_wetness_index</w:t>
      </w:r>
      <w:r>
        <w:rPr/>
        <w:t xml:space="preserve">, </w:t>
      </w:r>
      <w:r>
        <w:rPr>
          <w:rStyle w:val="VerbatimChar"/>
        </w:rPr>
        <w:t>soil_drainage_class</w:t>
      </w:r>
      <w:r>
        <w:rPr/>
        <w:t xml:space="preserve">, and </w:t>
      </w:r>
      <w:r>
        <w:rPr>
          <w:rStyle w:val="VerbatimChar"/>
        </w:rPr>
        <w:t>groundwater_depth_m</w:t>
      </w:r>
      <w:r>
        <w:rPr/>
        <w:t>.</w:t>
      </w:r>
      <w:bookmarkEnd w:id="211"/>
    </w:p>
    <w:p>
      <w:pPr>
        <w:pStyle w:val="Heading2"/>
        <w:rPr/>
      </w:pPr>
      <w:bookmarkStart w:id="212" w:name="connector-registry"/>
      <w:r>
        <w:rPr>
          <w:rStyle w:val="SectionNumber"/>
        </w:rPr>
        <w:t>15.9</w:t>
      </w:r>
      <w:r>
        <w:rPr/>
        <w:tab/>
        <w:t>Connector Registry</w:t>
      </w:r>
    </w:p>
    <w:p>
      <w:pPr>
        <w:pStyle w:val="FirstParagraph"/>
        <w:rPr/>
      </w:pPr>
      <w:bookmarkStart w:id="213" w:name="connector-registry"/>
      <w:r>
        <w:rPr/>
        <w:t>The Fetch Engine uses a configuration-driven Connector Registry to determine which connector owns each field. Version 1 connectors include Terrain, Climate, Land Cover, Natural Hazard, Infrastructure, Administrative, and Cadastral. The registry supports future datasets without code changes.</w:t>
      </w:r>
      <w:bookmarkEnd w:id="213"/>
    </w:p>
    <w:p>
      <w:pPr>
        <w:pStyle w:val="Heading2"/>
        <w:rPr/>
      </w:pPr>
      <w:bookmarkStart w:id="214" w:name="connector-interface"/>
      <w:r>
        <w:rPr>
          <w:rStyle w:val="SectionNumber"/>
        </w:rPr>
        <w:t>15.10</w:t>
      </w:r>
      <w:r>
        <w:rPr/>
        <w:tab/>
        <w:t>Connector Interface</w:t>
      </w:r>
    </w:p>
    <w:p>
      <w:pPr>
        <w:pStyle w:val="FirstParagraph"/>
        <w:rPr/>
      </w:pPr>
      <w:r>
        <w:rPr/>
        <w:t>Every connector shall implement a common interface:</w:t>
      </w:r>
    </w:p>
    <w:p>
      <w:pPr>
        <w:pStyle w:val="SourceCode"/>
        <w:rPr/>
      </w:pPr>
      <w:r>
        <w:rPr>
          <w:rStyle w:val="KeywordTok"/>
        </w:rPr>
        <w:t>class</w:t>
      </w:r>
      <w:r>
        <w:rPr>
          <w:rStyle w:val="NormalTok"/>
        </w:rPr>
        <w:t xml:space="preserve"> BaseConnector:</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initialize()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validate()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fetch()</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metadata()</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health()</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shutdown()</w:t>
      </w:r>
    </w:p>
    <w:p>
      <w:pPr>
        <w:pStyle w:val="FirstParagraph"/>
        <w:rPr/>
      </w:pPr>
      <w:bookmarkStart w:id="215" w:name="connector-interface"/>
      <w:r>
        <w:rPr/>
        <w:t>This ensures all connectors behave consistently regardless of their underlying implementation.</w:t>
      </w:r>
      <w:bookmarkEnd w:id="215"/>
    </w:p>
    <w:p>
      <w:pPr>
        <w:pStyle w:val="Heading2"/>
        <w:rPr/>
      </w:pPr>
      <w:bookmarkStart w:id="216" w:name="dataset-connectors"/>
      <w:r>
        <w:rPr>
          <w:rStyle w:val="SectionNumber"/>
        </w:rPr>
        <w:t>15.11</w:t>
      </w:r>
      <w:r>
        <w:rPr/>
        <w:tab/>
        <w:t>Dataset Connectors</w:t>
      </w:r>
    </w:p>
    <w:p>
      <w:pPr>
        <w:pStyle w:val="FirstParagraph"/>
        <w:rPr/>
      </w:pPr>
      <w:r>
        <w:rPr>
          <w:b/>
          <w:bCs/>
        </w:rPr>
        <w:t>Terrain Connector</w:t>
      </w:r>
      <w:r>
        <w:rPr/>
        <w:t xml:space="preserve"> — ISRO CartoDEM, Copernicus DEM, SoilGrids; fields include </w:t>
      </w:r>
      <w:r>
        <w:rPr>
          <w:rStyle w:val="VerbatimChar"/>
        </w:rPr>
        <w:t>elevation</w:t>
      </w:r>
      <w:r>
        <w:rPr/>
        <w:t xml:space="preserve">, </w:t>
      </w:r>
      <w:r>
        <w:rPr>
          <w:rStyle w:val="VerbatimChar"/>
        </w:rPr>
        <w:t>slope</w:t>
      </w:r>
      <w:r>
        <w:rPr/>
        <w:t xml:space="preserve">, </w:t>
      </w:r>
      <w:r>
        <w:rPr>
          <w:rStyle w:val="VerbatimChar"/>
        </w:rPr>
        <w:t>aspect</w:t>
      </w:r>
      <w:r>
        <w:rPr/>
        <w:t xml:space="preserve">, </w:t>
      </w:r>
      <w:r>
        <w:rPr>
          <w:rStyle w:val="VerbatimChar"/>
        </w:rPr>
        <w:t>terrain_roughness</w:t>
      </w:r>
      <w:r>
        <w:rPr/>
        <w:t xml:space="preserve">, </w:t>
      </w:r>
      <w:r>
        <w:rPr>
          <w:rStyle w:val="VerbatimChar"/>
        </w:rPr>
        <w:t>topographic_wetness_index</w:t>
      </w:r>
      <w:r>
        <w:rPr/>
        <w:t xml:space="preserve">, </w:t>
      </w:r>
      <w:r>
        <w:rPr>
          <w:rStyle w:val="VerbatimChar"/>
        </w:rPr>
        <w:t>soil_drainage_class</w:t>
      </w:r>
      <w:r>
        <w:rPr/>
        <w:t>.</w:t>
      </w:r>
    </w:p>
    <w:p>
      <w:pPr>
        <w:pStyle w:val="BodyText"/>
        <w:rPr/>
      </w:pPr>
      <w:r>
        <w:rPr>
          <w:b/>
          <w:bCs/>
        </w:rPr>
        <w:t>Climate Connector</w:t>
      </w:r>
      <w:r>
        <w:rPr/>
        <w:t xml:space="preserve"> — TerraClimate, ERA5; fields include </w:t>
      </w:r>
      <w:r>
        <w:rPr>
          <w:rStyle w:val="VerbatimChar"/>
        </w:rPr>
        <w:t>annual_rainfall_mm</w:t>
      </w:r>
      <w:r>
        <w:rPr/>
        <w:t xml:space="preserve">, </w:t>
      </w:r>
      <w:r>
        <w:rPr>
          <w:rStyle w:val="VerbatimChar"/>
        </w:rPr>
        <w:t>annual_temperature_c</w:t>
      </w:r>
      <w:r>
        <w:rPr/>
        <w:t xml:space="preserve">, </w:t>
      </w:r>
      <w:r>
        <w:rPr>
          <w:rStyle w:val="VerbatimChar"/>
        </w:rPr>
        <w:t>aridity_index</w:t>
      </w:r>
      <w:r>
        <w:rPr/>
        <w:t xml:space="preserve">, </w:t>
      </w:r>
      <w:r>
        <w:rPr>
          <w:rStyle w:val="VerbatimChar"/>
        </w:rPr>
        <w:t>wind_speed</w:t>
      </w:r>
      <w:r>
        <w:rPr/>
        <w:t xml:space="preserve">, </w:t>
      </w:r>
      <w:r>
        <w:rPr>
          <w:rStyle w:val="VerbatimChar"/>
        </w:rPr>
        <w:t>evapotranspiration</w:t>
      </w:r>
      <w:r>
        <w:rPr/>
        <w:t>.</w:t>
      </w:r>
    </w:p>
    <w:p>
      <w:pPr>
        <w:pStyle w:val="BodyText"/>
        <w:rPr/>
      </w:pPr>
      <w:r>
        <w:rPr>
          <w:b/>
          <w:bCs/>
        </w:rPr>
        <w:t>Land Cover Connector</w:t>
      </w:r>
      <w:r>
        <w:rPr/>
        <w:t xml:space="preserve"> — Sentinel-2, Bhuvan LULC; fields include </w:t>
      </w:r>
      <w:r>
        <w:rPr>
          <w:rStyle w:val="VerbatimChar"/>
        </w:rPr>
        <w:t>ndvi_current</w:t>
      </w:r>
      <w:r>
        <w:rPr/>
        <w:t xml:space="preserve">, </w:t>
      </w:r>
      <w:r>
        <w:rPr>
          <w:rStyle w:val="VerbatimChar"/>
        </w:rPr>
        <w:t>dominant_land_cover</w:t>
      </w:r>
      <w:r>
        <w:rPr/>
        <w:t xml:space="preserve">, </w:t>
      </w:r>
      <w:r>
        <w:rPr>
          <w:rStyle w:val="VerbatimChar"/>
        </w:rPr>
        <w:t>tree_canopy_pct</w:t>
      </w:r>
      <w:r>
        <w:rPr/>
        <w:t xml:space="preserve">, </w:t>
      </w:r>
      <w:r>
        <w:rPr>
          <w:rStyle w:val="VerbatimChar"/>
        </w:rPr>
        <w:t>cropland_class</w:t>
      </w:r>
      <w:r>
        <w:rPr/>
        <w:t>.</w:t>
      </w:r>
    </w:p>
    <w:p>
      <w:pPr>
        <w:pStyle w:val="BodyText"/>
        <w:rPr/>
      </w:pPr>
      <w:r>
        <w:rPr>
          <w:b/>
          <w:bCs/>
        </w:rPr>
        <w:t>Natural Hazard Connector</w:t>
      </w:r>
      <w:r>
        <w:rPr/>
        <w:t xml:space="preserve"> — Central Water Commission, NRSC, JRC Global Surface Water, NASA FIRMS; fields include </w:t>
      </w:r>
      <w:r>
        <w:rPr>
          <w:rStyle w:val="VerbatimChar"/>
        </w:rPr>
        <w:t>flood_hazard_class</w:t>
      </w:r>
      <w:r>
        <w:rPr/>
        <w:t xml:space="preserve">, </w:t>
      </w:r>
      <w:r>
        <w:rPr>
          <w:rStyle w:val="VerbatimChar"/>
        </w:rPr>
        <w:t>within_flood_hazard_polygon</w:t>
      </w:r>
      <w:r>
        <w:rPr/>
        <w:t xml:space="preserve">, </w:t>
      </w:r>
      <w:r>
        <w:rPr>
          <w:rStyle w:val="VerbatimChar"/>
        </w:rPr>
        <w:t>nearest_waterbody_distance_m</w:t>
      </w:r>
      <w:r>
        <w:rPr/>
        <w:t xml:space="preserve">, </w:t>
      </w:r>
      <w:r>
        <w:rPr>
          <w:rStyle w:val="VerbatimChar"/>
        </w:rPr>
        <w:t>active_fire_count_10km_24h</w:t>
      </w:r>
      <w:r>
        <w:rPr/>
        <w:t xml:space="preserve">, </w:t>
      </w:r>
      <w:r>
        <w:rPr>
          <w:rStyle w:val="VerbatimChar"/>
        </w:rPr>
        <w:t>wildfire_risk</w:t>
      </w:r>
      <w:r>
        <w:rPr/>
        <w:t>.</w:t>
      </w:r>
    </w:p>
    <w:p>
      <w:pPr>
        <w:pStyle w:val="BodyText"/>
        <w:rPr/>
      </w:pPr>
      <w:r>
        <w:rPr>
          <w:b/>
          <w:bCs/>
        </w:rPr>
        <w:t>Infrastructure Connector</w:t>
      </w:r>
      <w:r>
        <w:rPr/>
        <w:t xml:space="preserve"> — fields include </w:t>
      </w:r>
      <w:r>
        <w:rPr>
          <w:rStyle w:val="VerbatimChar"/>
        </w:rPr>
        <w:t>nearest_highway_distance</w:t>
      </w:r>
      <w:r>
        <w:rPr/>
        <w:t xml:space="preserve">, </w:t>
      </w:r>
      <w:r>
        <w:rPr>
          <w:rStyle w:val="VerbatimChar"/>
        </w:rPr>
        <w:t>transmission_line_distance</w:t>
      </w:r>
      <w:r>
        <w:rPr/>
        <w:t xml:space="preserve">, </w:t>
      </w:r>
      <w:r>
        <w:rPr>
          <w:rStyle w:val="VerbatimChar"/>
        </w:rPr>
        <w:t>substation_distance</w:t>
      </w:r>
      <w:r>
        <w:rPr/>
        <w:t xml:space="preserve">, </w:t>
      </w:r>
      <w:r>
        <w:rPr>
          <w:rStyle w:val="VerbatimChar"/>
        </w:rPr>
        <w:t>railway_distance</w:t>
      </w:r>
      <w:r>
        <w:rPr/>
        <w:t>.</w:t>
      </w:r>
    </w:p>
    <w:p>
      <w:pPr>
        <w:pStyle w:val="BodyText"/>
        <w:rPr/>
      </w:pPr>
      <w:r>
        <w:rPr>
          <w:b/>
          <w:bCs/>
        </w:rPr>
        <w:t>Administrative Connector</w:t>
      </w:r>
      <w:r>
        <w:rPr/>
        <w:t xml:space="preserve"> — Survey of India Administrative Boundary Database; fields include </w:t>
      </w:r>
      <w:r>
        <w:rPr>
          <w:rStyle w:val="VerbatimChar"/>
        </w:rPr>
        <w:t>state_name</w:t>
      </w:r>
      <w:r>
        <w:rPr/>
        <w:t xml:space="preserve">, </w:t>
      </w:r>
      <w:r>
        <w:rPr>
          <w:rStyle w:val="VerbatimChar"/>
        </w:rPr>
        <w:t>district_name</w:t>
      </w:r>
      <w:r>
        <w:rPr/>
        <w:t xml:space="preserve">, </w:t>
      </w:r>
      <w:r>
        <w:rPr>
          <w:rStyle w:val="VerbatimChar"/>
        </w:rPr>
        <w:t>taluk_name</w:t>
      </w:r>
      <w:r>
        <w:rPr/>
        <w:t xml:space="preserve">, </w:t>
      </w:r>
      <w:r>
        <w:rPr>
          <w:rStyle w:val="VerbatimChar"/>
        </w:rPr>
        <w:t>village_name</w:t>
      </w:r>
      <w:r>
        <w:rPr/>
        <w:t>.</w:t>
      </w:r>
    </w:p>
    <w:p>
      <w:pPr>
        <w:pStyle w:val="BodyText"/>
        <w:rPr/>
      </w:pPr>
      <w:r>
        <w:rPr>
          <w:b/>
          <w:bCs/>
        </w:rPr>
        <w:t>Cadastral Connector</w:t>
      </w:r>
      <w:r>
        <w:rPr/>
        <w:t xml:space="preserve"> — fields include </w:t>
      </w:r>
      <w:r>
        <w:rPr>
          <w:rStyle w:val="VerbatimChar"/>
        </w:rPr>
        <w:t>parcel_id</w:t>
      </w:r>
      <w:r>
        <w:rPr/>
        <w:t xml:space="preserve">, </w:t>
      </w:r>
      <w:r>
        <w:rPr>
          <w:rStyle w:val="VerbatimChar"/>
        </w:rPr>
        <w:t>survey_number</w:t>
      </w:r>
      <w:r>
        <w:rPr/>
        <w:t xml:space="preserve">, </w:t>
      </w:r>
      <w:r>
        <w:rPr>
          <w:rStyle w:val="VerbatimChar"/>
        </w:rPr>
        <w:t>parcel_area</w:t>
      </w:r>
      <w:r>
        <w:rPr/>
        <w:t xml:space="preserve">, </w:t>
      </w:r>
      <w:r>
        <w:rPr>
          <w:rStyle w:val="VerbatimChar"/>
        </w:rPr>
        <w:t>zoning</w:t>
      </w:r>
      <w:r>
        <w:rPr/>
        <w:t>; available only within the active pilot region.</w:t>
      </w:r>
      <w:bookmarkEnd w:id="216"/>
    </w:p>
    <w:p>
      <w:pPr>
        <w:pStyle w:val="Heading2"/>
        <w:rPr/>
      </w:pPr>
      <w:bookmarkStart w:id="217" w:name="parallel-execution"/>
      <w:r>
        <w:rPr>
          <w:rStyle w:val="SectionNumber"/>
        </w:rPr>
        <w:t>15.12</w:t>
      </w:r>
      <w:r>
        <w:rPr/>
        <w:tab/>
        <w:t>Parallel Execution</w:t>
      </w:r>
    </w:p>
    <w:p>
      <w:pPr>
        <w:pStyle w:val="FirstParagraph"/>
        <w:rPr/>
      </w:pPr>
      <w:bookmarkStart w:id="218" w:name="parallel-execution"/>
      <w:r>
        <w:rPr/>
        <w:t>The Fetch Engine shall execute independent connector requests concurrently, minimizing latency while preserving deterministic behavior, then aggregate the results.</w:t>
      </w:r>
      <w:bookmarkEnd w:id="218"/>
    </w:p>
    <w:p>
      <w:pPr>
        <w:pStyle w:val="Heading2"/>
        <w:rPr/>
      </w:pPr>
      <w:bookmarkStart w:id="219" w:name="response-aggregation"/>
      <w:r>
        <w:rPr>
          <w:rStyle w:val="SectionNumber"/>
        </w:rPr>
        <w:t>15.13</w:t>
      </w:r>
      <w:r>
        <w:rPr/>
        <w:tab/>
        <w:t>Response Aggregation</w:t>
      </w:r>
    </w:p>
    <w:p>
      <w:pPr>
        <w:pStyle w:val="FirstParagraph"/>
        <w:rPr/>
      </w:pPr>
      <w:bookmarkStart w:id="220" w:name="response-aggregation"/>
      <w:r>
        <w:rPr/>
        <w:t>Connector responses shall be merged into a single standardized payload, with deduplication, unit normalization, metadata preservation, provenance association, and ordering consistency.</w:t>
      </w:r>
      <w:bookmarkEnd w:id="220"/>
    </w:p>
    <w:p>
      <w:pPr>
        <w:pStyle w:val="Heading2"/>
        <w:rPr/>
      </w:pPr>
      <w:bookmarkStart w:id="221" w:name="standard-field-object"/>
      <w:r>
        <w:rPr>
          <w:rStyle w:val="SectionNumber"/>
        </w:rPr>
        <w:t>15.14</w:t>
      </w:r>
      <w:r>
        <w:rPr/>
        <w:tab/>
        <w:t>Standard Field Object</w:t>
      </w:r>
    </w:p>
    <w:p>
      <w:pPr>
        <w:pStyle w:val="FirstParagraph"/>
        <w:rPr/>
      </w:pPr>
      <w:r>
        <w:rPr/>
        <w:t>Every returned field shall follow the standard schema; all connectors shall return data in this format:</w:t>
      </w:r>
    </w:p>
    <w:p>
      <w:pPr>
        <w:pStyle w:val="SourceCode"/>
        <w:rPr/>
      </w:pP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"elevation"</w:t>
      </w:r>
      <w:r>
        <w:rPr>
          <w:rStyle w:val="FunctionTok"/>
        </w:rPr>
        <w:t>,</w:t>
      </w:r>
      <w:r>
        <w:rPr/>
        <w:br/>
      </w:r>
      <w:r>
        <w:rPr>
          <w:rStyle w:val="NormalTok"/>
        </w:rPr>
        <w:t xml:space="preserve">  </w:t>
      </w:r>
      <w:r>
        <w:rPr>
          <w:rStyle w:val="DataTypeTok"/>
        </w:rPr>
        <w:t>"value"</w:t>
      </w:r>
      <w:r>
        <w:rPr>
          <w:rStyle w:val="FunctionTok"/>
        </w:rPr>
        <w:t>:</w:t>
      </w:r>
      <w:r>
        <w:rPr>
          <w:rStyle w:val="NormalTok"/>
        </w:rPr>
        <w:t xml:space="preserve"> </w:t>
      </w:r>
      <w:r>
        <w:rPr>
          <w:rStyle w:val="FloatTok"/>
        </w:rPr>
        <w:t>542.16</w:t>
      </w:r>
      <w:r>
        <w:rPr>
          <w:rStyle w:val="FunctionTok"/>
        </w:rPr>
        <w:t>,</w:t>
      </w:r>
      <w:r>
        <w:rPr/>
        <w:br/>
      </w:r>
      <w:r>
        <w:rPr>
          <w:rStyle w:val="NormalTok"/>
        </w:rPr>
        <w:t xml:space="preserve">  </w:t>
      </w:r>
      <w:r>
        <w:rPr>
          <w:rStyle w:val="DataTypeTok"/>
        </w:rPr>
        <w:t>"unit"</w:t>
      </w:r>
      <w:r>
        <w:rPr>
          <w:rStyle w:val="FunctionTok"/>
        </w:rPr>
        <w:t>:</w:t>
      </w:r>
      <w:r>
        <w:rPr>
          <w:rStyle w:val="NormalTok"/>
        </w:rPr>
        <w:t xml:space="preserve"> </w:t>
      </w:r>
      <w:r>
        <w:rPr>
          <w:rStyle w:val="StringTok"/>
        </w:rPr>
        <w:t>"m"</w:t>
      </w:r>
      <w:r>
        <w:rPr>
          <w:rStyle w:val="FunctionTok"/>
        </w:rPr>
        <w:t>,</w:t>
      </w:r>
      <w:r>
        <w:rPr/>
        <w:br/>
      </w:r>
      <w:r>
        <w:rPr>
          <w:rStyle w:val="NormalTok"/>
        </w:rPr>
        <w:t xml:space="preserve">  </w:t>
      </w:r>
      <w:r>
        <w:rPr>
          <w:rStyle w:val="DataTypeTok"/>
        </w:rPr>
        <w:t>"datatype"</w:t>
      </w:r>
      <w:r>
        <w:rPr>
          <w:rStyle w:val="FunctionTok"/>
        </w:rPr>
        <w:t>:</w:t>
      </w:r>
      <w:r>
        <w:rPr>
          <w:rStyle w:val="NormalTok"/>
        </w:rPr>
        <w:t xml:space="preserve"> </w:t>
      </w:r>
      <w:r>
        <w:rPr>
          <w:rStyle w:val="StringTok"/>
        </w:rPr>
        <w:t>"float"</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"dataset_version"</w:t>
      </w:r>
      <w:r>
        <w:rPr>
          <w:rStyle w:val="FunctionTok"/>
        </w:rPr>
        <w:t>:</w:t>
      </w:r>
      <w:r>
        <w:rPr>
          <w:rStyle w:val="NormalTok"/>
        </w:rPr>
        <w:t xml:space="preserve"> </w:t>
      </w:r>
      <w:r>
        <w:rPr>
          <w:rStyle w:val="StringTok"/>
        </w:rPr>
        <w:t>"v2"</w:t>
      </w:r>
      <w:r>
        <w:rPr>
          <w:rStyle w:val="FunctionTok"/>
        </w:rPr>
        <w:t>,</w:t>
      </w:r>
      <w:r>
        <w:rPr/>
        <w:br/>
      </w:r>
      <w:r>
        <w:rPr>
          <w:rStyle w:val="NormalTok"/>
        </w:rPr>
        <w:t xml:space="preserve">  </w:t>
      </w:r>
      <w:r>
        <w:rPr>
          <w:rStyle w:val="DataTypeTok"/>
        </w:rPr>
        <w:t>"retrieved_at"</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"ttl"</w:t>
      </w:r>
      <w:r>
        <w:rPr>
          <w:rStyle w:val="FunctionTok"/>
        </w:rPr>
        <w:t>:</w:t>
      </w:r>
      <w:r>
        <w:rPr>
          <w:rStyle w:val="NormalTok"/>
        </w:rPr>
        <w:t xml:space="preserve"> </w:t>
      </w:r>
      <w:r>
        <w:rPr>
          <w:rStyle w:val="StringTok"/>
        </w:rPr>
        <w:t>"30d"</w:t>
      </w:r>
      <w:r>
        <w:rPr/>
        <w:br/>
      </w:r>
      <w:r>
        <w:rPr>
          <w:rStyle w:val="FunctionTok"/>
        </w:rPr>
        <w:t>}</w:t>
      </w:r>
      <w:bookmarkEnd w:id="221"/>
    </w:p>
    <w:p>
      <w:pPr>
        <w:pStyle w:val="Heading2"/>
        <w:rPr/>
      </w:pPr>
      <w:bookmarkStart w:id="222" w:name="provenance-generation"/>
      <w:r>
        <w:rPr>
          <w:rStyle w:val="SectionNumber"/>
        </w:rPr>
        <w:t>15.15</w:t>
      </w:r>
      <w:r>
        <w:rPr/>
        <w:tab/>
        <w:t>Provenance Generation</w:t>
      </w:r>
    </w:p>
    <w:p>
      <w:pPr>
        <w:pStyle w:val="FirstParagraph"/>
        <w:rPr/>
      </w:pPr>
      <w:bookmarkStart w:id="223" w:name="provenance-generation"/>
      <w:r>
        <w:rPr/>
        <w:t>The Fetch Engine shall generate provenance for every returned field — dataset name, source URL, dataset version, fetch timestamp, confidence, cache TTL, and null semantics. The Provenance Generator shall normalize metadata across all connectors.</w:t>
      </w:r>
      <w:bookmarkEnd w:id="223"/>
    </w:p>
    <w:p>
      <w:pPr>
        <w:pStyle w:val="Heading2"/>
        <w:rPr/>
      </w:pPr>
      <w:bookmarkStart w:id="224" w:name="partial-failures-1"/>
      <w:r>
        <w:rPr>
          <w:rStyle w:val="SectionNumber"/>
        </w:rPr>
        <w:t>15.16</w:t>
      </w:r>
      <w:r>
        <w:rPr/>
        <w:tab/>
        <w:t>Partial Failures</w:t>
      </w:r>
    </w:p>
    <w:p>
      <w:pPr>
        <w:pStyle w:val="FirstParagraph"/>
        <w:rPr/>
      </w:pPr>
      <w:r>
        <w:rPr/>
        <w:t>Failure of a single connector shall never terminate the request. Successful connector results shall be returned together with structured failure information:</w:t>
      </w:r>
    </w:p>
    <w:p>
      <w:pPr>
        <w:pStyle w:val="SourceCode"/>
        <w:rPr/>
      </w:pPr>
      <w:r>
        <w:rPr>
          <w:rStyle w:val="FunctionTok"/>
        </w:rPr>
        <w:t>{</w:t>
      </w:r>
      <w:r>
        <w:rPr/>
        <w:br/>
      </w:r>
      <w:r>
        <w:rPr>
          <w:rStyle w:val="NormalTok"/>
        </w:rPr>
        <w:t xml:space="preserve">  </w:t>
      </w:r>
      <w:r>
        <w:rPr>
          <w:rStyle w:val="DataTypeTok"/>
        </w:rPr>
        <w:t>"partial_failures"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"IMD"</w:t>
      </w:r>
      <w:r>
        <w:rPr>
          <w:rStyle w:val="FunctionTok"/>
        </w:rPr>
        <w:t>,</w:t>
      </w:r>
      <w:r>
        <w:rPr/>
        <w:br/>
      </w:r>
      <w:r>
        <w:rPr>
          <w:rStyle w:val="NormalTok"/>
        </w:rPr>
        <w:t xml:space="preserve">      </w:t>
      </w:r>
      <w:r>
        <w:rPr>
          <w:rStyle w:val="DataTypeTok"/>
        </w:rPr>
        <w:t>"connector"</w:t>
      </w:r>
      <w:r>
        <w:rPr>
          <w:rStyle w:val="FunctionTok"/>
        </w:rPr>
        <w:t>:</w:t>
      </w:r>
      <w:r>
        <w:rPr>
          <w:rStyle w:val="NormalTok"/>
        </w:rPr>
        <w:t xml:space="preserve"> </w:t>
      </w:r>
      <w:r>
        <w:rPr>
          <w:rStyle w:val="StringTok"/>
        </w:rPr>
        <w:t>"ClimateConnector"</w:t>
      </w:r>
      <w:r>
        <w:rPr>
          <w:rStyle w:val="FunctionTok"/>
        </w:rPr>
        <w:t>,</w:t>
      </w:r>
      <w:r>
        <w:rPr/>
        <w:br/>
      </w:r>
      <w:r>
        <w:rPr>
          <w:rStyle w:val="NormalTok"/>
        </w:rPr>
        <w:t xml:space="preserve">      </w:t>
      </w:r>
      <w:r>
        <w:rPr>
          <w:rStyle w:val="DataTypeTok"/>
        </w:rPr>
        <w:t>"reason"</w:t>
      </w:r>
      <w:r>
        <w:rPr>
          <w:rStyle w:val="FunctionTok"/>
        </w:rPr>
        <w:t>:</w:t>
      </w:r>
      <w:r>
        <w:rPr>
          <w:rStyle w:val="NormalTok"/>
        </w:rPr>
        <w:t xml:space="preserve"> </w:t>
      </w:r>
      <w:r>
        <w:rPr>
          <w:rStyle w:val="StringTok"/>
        </w:rPr>
        <w:t>"Gateway Timeout"</w:t>
      </w:r>
      <w:r>
        <w:rPr>
          <w:rStyle w:val="FunctionTok"/>
        </w:rPr>
        <w:t>,</w:t>
      </w:r>
      <w:r>
        <w:rPr/>
        <w:br/>
      </w:r>
      <w:r>
        <w:rPr>
          <w:rStyle w:val="NormalTok"/>
        </w:rPr>
        <w:t xml:space="preserve">      </w:t>
      </w:r>
      <w:r>
        <w:rPr>
          <w:rStyle w:val="DataTypeTok"/>
        </w:rPr>
        <w:t>"retryable"</w:t>
      </w:r>
      <w:r>
        <w:rPr>
          <w:rStyle w:val="FunctionTok"/>
        </w:rPr>
        <w:t>:</w:t>
      </w:r>
      <w:r>
        <w:rPr>
          <w:rStyle w:val="NormalTok"/>
        </w:rPr>
        <w:t xml:space="preserve"> </w:t>
      </w:r>
      <w:r>
        <w:rPr>
          <w:rStyle w:val="KeywordTok"/>
        </w:rPr>
        <w:t>true</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bookmarkEnd w:id="224"/>
    </w:p>
    <w:p>
      <w:pPr>
        <w:pStyle w:val="Heading2"/>
        <w:rPr/>
      </w:pPr>
      <w:bookmarkStart w:id="225" w:name="null-handling"/>
      <w:r>
        <w:rPr>
          <w:rStyle w:val="SectionNumber"/>
        </w:rPr>
        <w:t>15.17</w:t>
      </w:r>
      <w:r>
        <w:rPr/>
        <w:tab/>
        <w:t>Null Handling</w:t>
      </w:r>
    </w:p>
    <w:p>
      <w:pPr>
        <w:pStyle w:val="FirstParagraph"/>
        <w:rPr/>
      </w:pPr>
      <w:r>
        <w:rPr/>
        <w:t xml:space="preserve">Some fields may legitimately return null values. The Fetch Engine shall distinguish between data unavailable, outside dataset coverage, feature not applicable, planned field, and dataset temporarily unavailable. The configured </w:t>
      </w:r>
      <w:r>
        <w:rPr>
          <w:rStyle w:val="VerbatimChar"/>
        </w:rPr>
        <w:t>null_meaning</w:t>
      </w:r>
      <w:r>
        <w:rPr/>
        <w:t xml:space="preserve"> from the metadata catalog shall accompany null responses.</w:t>
      </w:r>
      <w:bookmarkEnd w:id="225"/>
    </w:p>
    <w:p>
      <w:pPr>
        <w:pStyle w:val="Heading2"/>
        <w:rPr/>
      </w:pPr>
      <w:bookmarkStart w:id="226" w:name="caching-strategy"/>
      <w:r>
        <w:rPr>
          <w:rStyle w:val="SectionNumber"/>
        </w:rPr>
        <w:t>15.18</w:t>
      </w:r>
      <w:r>
        <w:rPr/>
        <w:tab/>
        <w:t>Caching Strategy</w:t>
      </w:r>
    </w:p>
    <w:p>
      <w:pPr>
        <w:pStyle w:val="FirstParagraph"/>
        <w:rPr/>
      </w:pPr>
      <w:r>
        <w:rPr/>
        <w:t xml:space="preserve">The Fetch Engine shall implement a multi-level caching strategy: a </w:t>
      </w:r>
      <w:r>
        <w:rPr>
          <w:b/>
          <w:bCs/>
        </w:rPr>
        <w:t>Metadata Cache</w:t>
      </w:r>
      <w:r>
        <w:rPr/>
        <w:t xml:space="preserve"> (field catalog, presets, layer definitions), a </w:t>
      </w:r>
      <w:r>
        <w:rPr>
          <w:b/>
          <w:bCs/>
        </w:rPr>
        <w:t>Dataset Cache</w:t>
      </w:r>
      <w:r>
        <w:rPr/>
        <w:t xml:space="preserve"> (static administrative boundaries, terrain rasters, frequently accessed metadata), and a </w:t>
      </w:r>
      <w:r>
        <w:rPr>
          <w:b/>
          <w:bCs/>
        </w:rPr>
        <w:t>Response Cache</w:t>
      </w:r>
      <w:r>
        <w:rPr/>
        <w:t xml:space="preserve"> (deterministic fetch responses per field-specific TTL). The cache shall respect dataset update frequencies defined in the metadata catalog.</w:t>
      </w:r>
      <w:bookmarkEnd w:id="226"/>
    </w:p>
    <w:p>
      <w:pPr>
        <w:pStyle w:val="Heading2"/>
        <w:rPr/>
      </w:pPr>
      <w:bookmarkStart w:id="227" w:name="observability-1"/>
      <w:r>
        <w:rPr>
          <w:rStyle w:val="SectionNumber"/>
        </w:rPr>
        <w:t>15.19</w:t>
      </w:r>
      <w:r>
        <w:rPr/>
        <w:tab/>
        <w:t>Observability</w:t>
      </w:r>
    </w:p>
    <w:p>
      <w:pPr>
        <w:pStyle w:val="FirstParagraph"/>
        <w:rPr/>
      </w:pPr>
      <w:bookmarkStart w:id="228" w:name="observability-1"/>
      <w:r>
        <w:rPr/>
        <w:t>Every execution shall generate structured telemetry, including request duration, connector latency, cache hit ratio, dataset failures, parallel execution time, retrieved field count, and Planner-to-fetch latency. Logs shall include a correlation ID to trace the request across services.</w:t>
      </w:r>
      <w:bookmarkEnd w:id="228"/>
    </w:p>
    <w:p>
      <w:pPr>
        <w:pStyle w:val="Heading2"/>
        <w:rPr/>
      </w:pPr>
      <w:bookmarkStart w:id="229" w:name="security-1"/>
      <w:r>
        <w:rPr>
          <w:rStyle w:val="SectionNumber"/>
        </w:rPr>
        <w:t>15.20</w:t>
      </w:r>
      <w:r>
        <w:rPr/>
        <w:tab/>
        <w:t>Security</w:t>
      </w:r>
    </w:p>
    <w:p>
      <w:pPr>
        <w:pStyle w:val="FirstParagraph"/>
        <w:rPr/>
      </w:pPr>
      <w:bookmarkStart w:id="230" w:name="security-1"/>
      <w:r>
        <w:rPr/>
        <w:t>The Fetch Engine shall validate all inputs, prevent injection attacks, enforce rate limits, protect internal connectors, restrict unsupported fields, and reject malformed requests. No connector shall expose raw credentials or internal implementation details.</w:t>
      </w:r>
      <w:bookmarkEnd w:id="230"/>
    </w:p>
    <w:p>
      <w:pPr>
        <w:pStyle w:val="Heading2"/>
        <w:rPr/>
      </w:pPr>
      <w:bookmarkStart w:id="231" w:name="future-extensibility"/>
      <w:r>
        <w:rPr>
          <w:rStyle w:val="SectionNumber"/>
        </w:rPr>
        <w:t>15.21</w:t>
      </w:r>
      <w:r>
        <w:rPr/>
        <w:tab/>
        <w:t>Future Extensibility</w:t>
      </w:r>
    </w:p>
    <w:p>
      <w:pPr>
        <w:pStyle w:val="FirstParagraph"/>
        <w:rPr/>
      </w:pPr>
      <w:bookmarkStart w:id="232" w:name="fetch-engine"/>
      <w:bookmarkStart w:id="233" w:name="future-extensibility"/>
      <w:r>
        <w:rPr/>
        <w:t>The Fetch Engine architecture shall support additional state connectors, new geospatial datasets, alternative data providers, streaming datasets, batch execution, distributed execution, and cloud-native scaling. New connectors shall integrate through the Connector Registry without modifying the orchestration logic.</w:t>
      </w:r>
      <w:bookmarkEnd w:id="232"/>
      <w:bookmarkEnd w:id="233"/>
    </w:p>
    <w:p>
      <w:pPr>
        <w:pStyle w:val="Heading1"/>
        <w:rPr/>
      </w:pPr>
      <w:bookmarkStart w:id="234" w:name="citation-engine"/>
      <w:r>
        <w:rPr>
          <w:rStyle w:val="SectionNumber"/>
        </w:rPr>
        <w:t>16</w:t>
      </w:r>
      <w:r>
        <w:rPr/>
        <w:tab/>
        <w:t>Citation Engine</w:t>
      </w:r>
    </w:p>
    <w:p>
      <w:pPr>
        <w:pStyle w:val="FirstParagraph"/>
        <w:rPr/>
      </w:pPr>
      <w:r>
        <w:rPr/>
        <w:t>The Citation Engine is a core transparency component of the Prism Earth platform. It ensures that every value, statement, and conclusion presented to users is directly traceable to authoritative datasets. The Citation Engine transforms raw provenance metadata produced by the Fetch Engine into standardized, human-readable citations that can be displayed by the frontend, consumed by AI agents, and verified by auditors.</w:t>
      </w:r>
    </w:p>
    <w:p>
      <w:pPr>
        <w:pStyle w:val="BodyText"/>
        <w:rPr/>
      </w:pPr>
      <w:r>
        <w:rPr/>
        <w:t>Prism Earth follows a “Trust Through Transparency” philosophy: every factual statement returned by the platform shall be accompanied by one or more citations referencing the exact dataset used to derive that information. The Citation Engine is independent of the Planner, Fetch Engine, and Synthesizer. It operates solely on validated field values and their provenance metadata, ensuring that citations accurately reflect the underlying data and are never generated from assumptions or model memory.</w:t>
      </w:r>
    </w:p>
    <w:p>
      <w:pPr>
        <w:pStyle w:val="Heading2"/>
        <w:rPr/>
      </w:pPr>
      <w:bookmarkStart w:id="235" w:name="objectives-4"/>
      <w:r>
        <w:rPr>
          <w:rStyle w:val="SectionNumber"/>
        </w:rPr>
        <w:t>16.1</w:t>
      </w:r>
      <w:r>
        <w:rPr/>
        <w:tab/>
        <w:t>Objectives</w:t>
      </w:r>
    </w:p>
    <w:p>
      <w:pPr>
        <w:pStyle w:val="FirstParagraph"/>
        <w:rPr/>
      </w:pPr>
      <w:bookmarkStart w:id="236" w:name="objectives-4"/>
      <w:r>
        <w:rPr/>
        <w:t>The Citation Engine shall generate standardized citations for every returned field, associate citations with authoritative datasets, preserve dataset version information, maintain source URLs for verification, support inline citations in synthesized responses, provide structured citations for API consumers, enable auditability and reproducibility, prevent fabricated or unverifiable references, and support future citation standards and formats.</w:t>
      </w:r>
      <w:bookmarkEnd w:id="236"/>
    </w:p>
    <w:p>
      <w:pPr>
        <w:pStyle w:val="Heading2"/>
        <w:rPr/>
      </w:pPr>
      <w:bookmarkStart w:id="237" w:name="architectural-position-2"/>
      <w:r>
        <w:rPr>
          <w:rStyle w:val="SectionNumber"/>
        </w:rPr>
        <w:t>16.2</w:t>
      </w:r>
      <w:r>
        <w:rPr/>
        <w:tab/>
        <w:t>Architectural Position</w:t>
      </w:r>
    </w:p>
    <w:p>
      <w:pPr>
        <w:pStyle w:val="FirstParagraph"/>
        <w:rPr/>
      </w:pPr>
      <w:bookmarkStart w:id="238" w:name="architectural-position-2"/>
      <w:r>
        <w:rPr/>
        <w:t>The Citation Engine operates after the Fetch Engine and Provenance Generator and before the Synthesizer, as shown in the high-level system architecture diagram (Chapter 8). It never retrieves data directly from datasets; it only consumes validated provenance metadata generated during data retrieval.</w:t>
      </w:r>
      <w:bookmarkEnd w:id="238"/>
    </w:p>
    <w:p>
      <w:pPr>
        <w:pStyle w:val="Heading2"/>
        <w:rPr/>
      </w:pPr>
      <w:bookmarkStart w:id="239" w:name="responsibilities-2"/>
      <w:r>
        <w:rPr>
          <w:rStyle w:val="SectionNumber"/>
        </w:rPr>
        <w:t>16.3</w:t>
      </w:r>
      <w:r>
        <w:rPr/>
        <w:tab/>
        <w:t>Responsibilities</w:t>
      </w:r>
    </w:p>
    <w:p>
      <w:pPr>
        <w:pStyle w:val="FirstParagraph"/>
        <w:rPr/>
      </w:pPr>
      <w:r>
        <w:rPr/>
        <w:t>The Citation Engine maps field values to authoritative datasets, generates citation objects, preserves dataset metadata, formats inline and structured citations, supports multiple citation styles, deduplicates repeated citations, and associates citations with synthesized statements.</w:t>
      </w:r>
    </w:p>
    <w:p>
      <w:pPr>
        <w:pStyle w:val="BodyText"/>
        <w:rPr/>
      </w:pPr>
      <w:bookmarkStart w:id="240" w:name="responsibilities-2"/>
      <w:r>
        <w:rPr/>
        <w:t>It shall not retrieve datasets, modify field values, generate answers, perform AI reasoning, estimate confidence scores, or fabricate citations.</w:t>
      </w:r>
      <w:bookmarkEnd w:id="240"/>
    </w:p>
    <w:p>
      <w:pPr>
        <w:pStyle w:val="Heading2"/>
        <w:rPr/>
      </w:pPr>
      <w:bookmarkStart w:id="241" w:name="citation-principles"/>
      <w:r>
        <w:rPr>
          <w:rStyle w:val="SectionNumber"/>
        </w:rPr>
        <w:t>16.4</w:t>
      </w:r>
      <w:r>
        <w:rPr/>
        <w:tab/>
        <w:t>Citation Principles</w:t>
      </w:r>
    </w:p>
    <w:p>
      <w:pPr>
        <w:pStyle w:val="FirstParagraph"/>
        <w:rPr/>
      </w:pPr>
      <w:r>
        <w:rPr>
          <w:b/>
          <w:bCs/>
        </w:rPr>
        <w:t>Accuracy</w:t>
      </w:r>
      <w:r>
        <w:rPr/>
        <w:t xml:space="preserve"> — every citation must correspond to the exact dataset that produced the field value. </w:t>
      </w:r>
      <w:r>
        <w:rPr>
          <w:b/>
          <w:bCs/>
        </w:rPr>
        <w:t>Traceability</w:t>
      </w:r>
      <w:r>
        <w:rPr/>
        <w:t xml:space="preserve"> — every citation must allow users to trace the result back to the original data source. </w:t>
      </w:r>
      <w:r>
        <w:rPr>
          <w:b/>
          <w:bCs/>
        </w:rPr>
        <w:t>Transparency</w:t>
      </w:r>
      <w:r>
        <w:rPr/>
        <w:t xml:space="preserve"> — users shall understand where every fact originated. </w:t>
      </w:r>
      <w:r>
        <w:rPr>
          <w:b/>
          <w:bCs/>
        </w:rPr>
        <w:t>Reproducibility</w:t>
      </w:r>
      <w:r>
        <w:rPr/>
        <w:t xml:space="preserve"> — future executions using the same dataset version shall produce identical citations. </w:t>
      </w:r>
      <w:r>
        <w:rPr>
          <w:b/>
          <w:bCs/>
        </w:rPr>
        <w:t>Independence</w:t>
      </w:r>
      <w:r>
        <w:rPr/>
        <w:t xml:space="preserve"> — citation generation shall remain independent of AI reasoning.</w:t>
      </w:r>
      <w:bookmarkEnd w:id="241"/>
    </w:p>
    <w:p>
      <w:pPr>
        <w:pStyle w:val="Heading2"/>
        <w:rPr/>
      </w:pPr>
      <w:bookmarkStart w:id="242" w:name="citation-sources"/>
      <w:r>
        <w:rPr>
          <w:rStyle w:val="SectionNumber"/>
        </w:rPr>
        <w:t>16.5</w:t>
      </w:r>
      <w:r>
        <w:rPr/>
        <w:tab/>
        <w:t>Citation Sources</w:t>
      </w:r>
    </w:p>
    <w:p>
      <w:pPr>
        <w:pStyle w:val="FirstParagraph"/>
        <w:rPr/>
      </w:pPr>
      <w:r>
        <w:rPr/>
        <w:t>Version 1 supports citations from the following primary data providers:</w:t>
      </w:r>
    </w:p>
    <w:p>
      <w:pPr>
        <w:pStyle w:val="Compact"/>
        <w:numPr>
          <w:ilvl w:val="0"/>
          <w:numId w:val="183"/>
        </w:numPr>
        <w:rPr/>
      </w:pPr>
      <w:r>
        <w:rPr>
          <w:b/>
          <w:bCs/>
        </w:rPr>
        <w:t>Terrain</w:t>
      </w:r>
      <w:r>
        <w:rPr/>
        <w:t xml:space="preserve"> — ISRO CartoDEM, Copernicus DEM, SoilGrids</w:t>
      </w:r>
    </w:p>
    <w:p>
      <w:pPr>
        <w:pStyle w:val="Compact"/>
        <w:numPr>
          <w:ilvl w:val="0"/>
          <w:numId w:val="184"/>
        </w:numPr>
        <w:rPr/>
      </w:pPr>
      <w:r>
        <w:rPr>
          <w:b/>
          <w:bCs/>
        </w:rPr>
        <w:t>Climate</w:t>
      </w:r>
      <w:r>
        <w:rPr/>
        <w:t xml:space="preserve"> — TerraClimate, ERA5</w:t>
      </w:r>
    </w:p>
    <w:p>
      <w:pPr>
        <w:pStyle w:val="Compact"/>
        <w:numPr>
          <w:ilvl w:val="0"/>
          <w:numId w:val="185"/>
        </w:numPr>
        <w:rPr/>
      </w:pPr>
      <w:r>
        <w:rPr>
          <w:b/>
          <w:bCs/>
        </w:rPr>
        <w:t>Land Cover</w:t>
      </w:r>
      <w:r>
        <w:rPr/>
        <w:t xml:space="preserve"> — Copernicus Sentinel-2, ISRO Bhuvan LULC</w:t>
      </w:r>
    </w:p>
    <w:p>
      <w:pPr>
        <w:pStyle w:val="Compact"/>
        <w:numPr>
          <w:ilvl w:val="0"/>
          <w:numId w:val="186"/>
        </w:numPr>
        <w:rPr/>
      </w:pPr>
      <w:r>
        <w:rPr>
          <w:b/>
          <w:bCs/>
        </w:rPr>
        <w:t>Flood and Water</w:t>
      </w:r>
      <w:r>
        <w:rPr/>
        <w:t xml:space="preserve"> — Central Water Commission (CWC), NRSC Waterbody Database, JRC Global Surface Water</w:t>
      </w:r>
    </w:p>
    <w:p>
      <w:pPr>
        <w:pStyle w:val="Compact"/>
        <w:numPr>
          <w:ilvl w:val="0"/>
          <w:numId w:val="187"/>
        </w:numPr>
        <w:rPr/>
      </w:pPr>
      <w:r>
        <w:rPr>
          <w:b/>
          <w:bCs/>
        </w:rPr>
        <w:t>Wildfire</w:t>
      </w:r>
      <w:r>
        <w:rPr/>
        <w:t xml:space="preserve"> — NASA FIRMS, MODIS, VIIRS</w:t>
      </w:r>
    </w:p>
    <w:p>
      <w:pPr>
        <w:pStyle w:val="Compact"/>
        <w:numPr>
          <w:ilvl w:val="0"/>
          <w:numId w:val="188"/>
        </w:numPr>
        <w:rPr/>
      </w:pPr>
      <w:r>
        <w:rPr>
          <w:b/>
          <w:bCs/>
        </w:rPr>
        <w:t>Administrative</w:t>
      </w:r>
      <w:r>
        <w:rPr/>
        <w:t xml:space="preserve"> — Survey of India Administrative Boundary Database, NAKSHA Administrative Layers</w:t>
      </w:r>
    </w:p>
    <w:p>
      <w:pPr>
        <w:pStyle w:val="FirstParagraph"/>
        <w:rPr/>
      </w:pPr>
      <w:bookmarkStart w:id="243" w:name="citation-sources"/>
      <w:r>
        <w:rPr/>
        <w:t>The architecture shall support additional datasets through configuration without requiring modifications to the Citation Engine.</w:t>
      </w:r>
      <w:bookmarkEnd w:id="243"/>
    </w:p>
    <w:p>
      <w:pPr>
        <w:pStyle w:val="Heading2"/>
        <w:rPr/>
      </w:pPr>
      <w:bookmarkStart w:id="244" w:name="citation-workflow"/>
      <w:r>
        <w:rPr>
          <w:rStyle w:val="SectionNumber"/>
        </w:rPr>
        <w:t>16.6</w:t>
      </w:r>
      <w:r>
        <w:rPr/>
        <w:tab/>
        <w:t>Citation Workflow</w:t>
      </w:r>
    </w:p>
    <w:p>
      <w:pPr>
        <w:pStyle w:val="FirstParagraph"/>
        <w:rPr/>
      </w:pPr>
      <w:bookmarkStart w:id="245" w:name="citation-workflow"/>
      <w:r>
        <w:rPr/>
        <w:t>Fetched fields → read provenance metadata → look up the dataset registry → generate citation objects → deduplicate citations → attach to response.</w:t>
      </w:r>
      <w:bookmarkEnd w:id="245"/>
    </w:p>
    <w:p>
      <w:pPr>
        <w:pStyle w:val="Heading2"/>
        <w:rPr/>
      </w:pPr>
      <w:bookmarkStart w:id="246" w:name="citation-object"/>
      <w:r>
        <w:rPr>
          <w:rStyle w:val="SectionNumber"/>
        </w:rPr>
        <w:t>16.7</w:t>
      </w:r>
      <w:r>
        <w:rPr/>
        <w:tab/>
        <w:t>Citation Object</w:t>
      </w:r>
    </w:p>
    <w:p>
      <w:pPr>
        <w:pStyle w:val="FirstParagraph"/>
        <w:rPr/>
      </w:pPr>
      <w:r>
        <w:rPr/>
        <w:t>Every citation shall follow a standardized schema:</w:t>
      </w:r>
    </w:p>
    <w:p>
      <w:pPr>
        <w:pStyle w:val="SourceCode"/>
        <w:rPr/>
      </w:pPr>
      <w:r>
        <w:rPr>
          <w:rStyle w:val="FunctionTok"/>
        </w:rPr>
        <w:t>{</w:t>
      </w:r>
      <w:r>
        <w:rPr/>
        <w:br/>
      </w:r>
      <w:r>
        <w:rPr>
          <w:rStyle w:val="NormalTok"/>
        </w:rPr>
        <w:t xml:space="preserve">  </w:t>
      </w:r>
      <w:r>
        <w:rPr>
          <w:rStyle w:val="DataTypeTok"/>
        </w:rPr>
        <w:t>"citation_id"</w:t>
      </w:r>
      <w:r>
        <w:rPr>
          <w:rStyle w:val="FunctionTok"/>
        </w:rPr>
        <w:t>:</w:t>
      </w:r>
      <w:r>
        <w:rPr>
          <w:rStyle w:val="NormalTok"/>
        </w:rPr>
        <w:t xml:space="preserve"> </w:t>
      </w:r>
      <w:r>
        <w:rPr>
          <w:rStyle w:val="StringTok"/>
        </w:rPr>
        <w:t>"CIT-001"</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"provider"</w:t>
      </w:r>
      <w:r>
        <w:rPr>
          <w:rStyle w:val="FunctionTok"/>
        </w:rPr>
        <w:t>:</w:t>
      </w:r>
      <w:r>
        <w:rPr>
          <w:rStyle w:val="NormalTok"/>
        </w:rPr>
        <w:t xml:space="preserve"> </w:t>
      </w:r>
      <w:r>
        <w:rPr>
          <w:rStyle w:val="StringTok"/>
        </w:rPr>
        <w:t>"Indian Space Research Organisation"</w:t>
      </w:r>
      <w:r>
        <w:rPr>
          <w:rStyle w:val="FunctionTok"/>
        </w:rPr>
        <w:t>,</w:t>
      </w:r>
      <w:r>
        <w:rPr/>
        <w:br/>
      </w:r>
      <w:r>
        <w:rPr>
          <w:rStyle w:val="NormalTok"/>
        </w:rPr>
        <w:t xml:space="preserve">  </w:t>
      </w:r>
      <w:r>
        <w:rPr>
          <w:rStyle w:val="DataTypeTok"/>
        </w:rPr>
        <w:t>"source_url"</w:t>
      </w:r>
      <w:r>
        <w:rPr>
          <w:rStyle w:val="FunctionTok"/>
        </w:rPr>
        <w:t>:</w:t>
      </w:r>
      <w:r>
        <w:rPr>
          <w:rStyle w:val="NormalTok"/>
        </w:rPr>
        <w:t xml:space="preserve"> </w:t>
      </w:r>
      <w:r>
        <w:rPr>
          <w:rStyle w:val="StringTok"/>
        </w:rPr>
        <w:t>"https://bhuvan.nrsc.gov.in"</w:t>
      </w:r>
      <w:r>
        <w:rPr>
          <w:rStyle w:val="FunctionTok"/>
        </w:rPr>
        <w:t>,</w:t>
      </w:r>
      <w:r>
        <w:rPr/>
        <w:br/>
      </w:r>
      <w:r>
        <w:rPr>
          <w:rStyle w:val="NormalTok"/>
        </w:rPr>
        <w:t xml:space="preserve">  </w:t>
      </w:r>
      <w:r>
        <w:rPr>
          <w:rStyle w:val="DataTypeTok"/>
        </w:rPr>
        <w:t>"dataset_version"</w:t>
      </w:r>
      <w:r>
        <w:rPr>
          <w:rStyle w:val="FunctionTok"/>
        </w:rPr>
        <w:t>:</w:t>
      </w:r>
      <w:r>
        <w:rPr>
          <w:rStyle w:val="NormalTok"/>
        </w:rPr>
        <w:t xml:space="preserve"> </w:t>
      </w:r>
      <w:r>
        <w:rPr>
          <w:rStyle w:val="StringTok"/>
        </w:rPr>
        <w:t>"v2.1"</w:t>
      </w:r>
      <w:r>
        <w:rPr>
          <w:rStyle w:val="FunctionTok"/>
        </w:rPr>
        <w:t>,</w:t>
      </w:r>
      <w:r>
        <w:rPr/>
        <w:br/>
      </w:r>
      <w:r>
        <w:rPr>
          <w:rStyle w:val="NormalTok"/>
        </w:rPr>
        <w:t xml:space="preserve">  </w:t>
      </w:r>
      <w:r>
        <w:rPr>
          <w:rStyle w:val="DataTypeTok"/>
        </w:rPr>
        <w:t>"retrieved_at"</w:t>
      </w:r>
      <w:r>
        <w:rPr>
          <w:rStyle w:val="FunctionTok"/>
        </w:rPr>
        <w:t>:</w:t>
      </w:r>
      <w:r>
        <w:rPr>
          <w:rStyle w:val="NormalTok"/>
        </w:rPr>
        <w:t xml:space="preserve"> </w:t>
      </w:r>
      <w:r>
        <w:rPr>
          <w:rStyle w:val="StringTok"/>
        </w:rPr>
        <w:t>"2026-06-26T10:15:00Z"</w:t>
      </w:r>
      <w:r>
        <w:rPr>
          <w:rStyle w:val="FunctionTok"/>
        </w:rPr>
        <w:t>,</w:t>
      </w:r>
      <w:r>
        <w:rPr/>
        <w:br/>
      </w:r>
      <w:r>
        <w:rPr>
          <w:rStyle w:val="NormalTok"/>
        </w:rPr>
        <w:t xml:space="preserve">  </w:t>
      </w:r>
      <w:r>
        <w:rPr>
          <w:rStyle w:val="DataTypeTok"/>
        </w:rPr>
        <w:t>"ttl"</w:t>
      </w:r>
      <w:r>
        <w:rPr>
          <w:rStyle w:val="FunctionTok"/>
        </w:rPr>
        <w:t>:</w:t>
      </w:r>
      <w:r>
        <w:rPr>
          <w:rStyle w:val="NormalTok"/>
        </w:rPr>
        <w:t xml:space="preserve"> </w:t>
      </w:r>
      <w:r>
        <w:rPr>
          <w:rStyle w:val="StringTok"/>
        </w:rPr>
        <w:t>"30d"</w:t>
      </w:r>
      <w:r>
        <w:rPr>
          <w:rStyle w:val="FunctionTok"/>
        </w:rPr>
        <w:t>,</w:t>
      </w:r>
      <w:r>
        <w:rPr/>
        <w:br/>
      </w:r>
      <w:r>
        <w:rPr>
          <w:rStyle w:val="NormalTok"/>
        </w:rPr>
        <w:t xml:space="preserve">  </w:t>
      </w:r>
      <w:r>
        <w:rPr>
          <w:rStyle w:val="DataTypeTok"/>
        </w:rPr>
        <w:t>"license"</w:t>
      </w:r>
      <w:r>
        <w:rPr>
          <w:rStyle w:val="FunctionTok"/>
        </w:rPr>
        <w:t>:</w:t>
      </w:r>
      <w:r>
        <w:rPr>
          <w:rStyle w:val="NormalTok"/>
        </w:rPr>
        <w:t xml:space="preserve"> </w:t>
      </w:r>
      <w:r>
        <w:rPr>
          <w:rStyle w:val="StringTok"/>
        </w:rPr>
        <w:t>"Government of India Open Data"</w:t>
      </w:r>
      <w:r>
        <w:rPr>
          <w:rStyle w:val="FunctionTok"/>
        </w:rPr>
        <w:t>,</w:t>
      </w:r>
      <w:r>
        <w:rPr/>
        <w:br/>
      </w:r>
      <w:r>
        <w:rPr>
          <w:rStyle w:val="NormalTok"/>
        </w:rPr>
        <w:t xml:space="preserve">  </w:t>
      </w:r>
      <w:r>
        <w:rPr>
          <w:rStyle w:val="DataTypeTok"/>
        </w:rPr>
        <w:t>"field_names"</w:t>
      </w:r>
      <w:r>
        <w:rPr>
          <w:rStyle w:val="FunctionTok"/>
        </w:rPr>
        <w:t>:</w:t>
      </w:r>
      <w:r>
        <w:rPr>
          <w:rStyle w:val="NormalTok"/>
        </w:rPr>
        <w:t xml:space="preserve"> </w:t>
      </w:r>
      <w:r>
        <w:rPr>
          <w:rStyle w:val="OtherTok"/>
        </w:rPr>
        <w:t>[</w:t>
      </w:r>
      <w:r>
        <w:rPr>
          <w:rStyle w:val="StringTok"/>
        </w:rPr>
        <w:t>"elevation"</w:t>
      </w:r>
      <w:r>
        <w:rPr>
          <w:rStyle w:val="OtherTok"/>
        </w:rPr>
        <w:t>,</w:t>
      </w:r>
      <w:r>
        <w:rPr>
          <w:rStyle w:val="NormalTok"/>
        </w:rPr>
        <w:t xml:space="preserve"> </w:t>
      </w:r>
      <w:r>
        <w:rPr>
          <w:rStyle w:val="StringTok"/>
        </w:rPr>
        <w:t>"slope"</w:t>
      </w:r>
      <w:r>
        <w:rPr>
          <w:rStyle w:val="OtherTok"/>
        </w:rPr>
        <w:t>]</w:t>
      </w:r>
      <w:r>
        <w:rPr/>
        <w:br/>
      </w:r>
      <w:r>
        <w:rPr>
          <w:rStyle w:val="FunctionTok"/>
        </w:rPr>
        <w:t>}</w:t>
      </w:r>
      <w:bookmarkEnd w:id="246"/>
    </w:p>
    <w:p>
      <w:pPr>
        <w:pStyle w:val="Heading2"/>
        <w:rPr/>
      </w:pPr>
      <w:bookmarkStart w:id="247" w:name="inline-citations"/>
      <w:r>
        <w:rPr>
          <w:rStyle w:val="SectionNumber"/>
        </w:rPr>
        <w:t>16.8</w:t>
      </w:r>
      <w:r>
        <w:rPr/>
        <w:tab/>
        <w:t>Inline Citations</w:t>
      </w:r>
    </w:p>
    <w:p>
      <w:pPr>
        <w:pStyle w:val="FirstParagraph"/>
        <w:rPr/>
      </w:pPr>
      <w:bookmarkStart w:id="248" w:name="inline-citations"/>
      <w:r>
        <w:rPr/>
        <w:t>The Synthesizer shall use inline citations when generating responses — for example, “The location has an elevation of 542 m (ISRO CartoDEM v2.1).” Inline citations shall always reference structured citation objects returned by the Citation Engine.</w:t>
      </w:r>
      <w:bookmarkEnd w:id="248"/>
    </w:p>
    <w:p>
      <w:pPr>
        <w:pStyle w:val="Heading2"/>
        <w:rPr/>
      </w:pPr>
      <w:bookmarkStart w:id="249" w:name="structured-citations"/>
      <w:r>
        <w:rPr>
          <w:rStyle w:val="SectionNumber"/>
        </w:rPr>
        <w:t>16.9</w:t>
      </w:r>
      <w:r>
        <w:rPr/>
        <w:tab/>
        <w:t>Structured Citations</w:t>
      </w:r>
    </w:p>
    <w:p>
      <w:pPr>
        <w:pStyle w:val="FirstParagraph"/>
        <w:rPr/>
      </w:pPr>
      <w:r>
        <w:rPr/>
        <w:t xml:space="preserve">Every API response shall include a dedicated </w:t>
      </w:r>
      <w:r>
        <w:rPr>
          <w:rStyle w:val="VerbatimChar"/>
        </w:rPr>
        <w:t>citations</w:t>
      </w:r>
      <w:r>
        <w:rPr/>
        <w:t xml:space="preserve"> section, which the frontend shall render as clickable references:</w:t>
      </w:r>
    </w:p>
    <w:p>
      <w:pPr>
        <w:pStyle w:val="SourceCode"/>
        <w:rPr/>
      </w:pPr>
      <w:r>
        <w:rPr>
          <w:rStyle w:val="FunctionTok"/>
        </w:rPr>
        <w:t>{</w:t>
      </w:r>
      <w:r>
        <w:rPr/>
        <w:br/>
      </w:r>
      <w:r>
        <w:rPr>
          <w:rStyle w:val="NormalTok"/>
        </w:rPr>
        <w:t xml:space="preserve">  </w:t>
      </w:r>
      <w:r>
        <w:rPr>
          <w:rStyle w:val="DataTypeTok"/>
        </w:rPr>
        <w:t>"citations"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"citation_id"</w:t>
      </w:r>
      <w:r>
        <w:rPr>
          <w:rStyle w:val="FunctionTok"/>
        </w:rPr>
        <w:t>:</w:t>
      </w:r>
      <w:r>
        <w:rPr>
          <w:rStyle w:val="NormalTok"/>
        </w:rPr>
        <w:t xml:space="preserve"> </w:t>
      </w:r>
      <w:r>
        <w:rPr>
          <w:rStyle w:val="StringTok"/>
        </w:rPr>
        <w:t>"CIT-001"</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"field_names"</w:t>
      </w:r>
      <w:r>
        <w:rPr>
          <w:rStyle w:val="FunctionTok"/>
        </w:rPr>
        <w:t>:</w:t>
      </w:r>
      <w:r>
        <w:rPr>
          <w:rStyle w:val="NormalTok"/>
        </w:rPr>
        <w:t xml:space="preserve"> </w:t>
      </w:r>
      <w:r>
        <w:rPr>
          <w:rStyle w:val="OtherTok"/>
        </w:rPr>
        <w:t>[</w:t>
      </w:r>
      <w:r>
        <w:rPr>
          <w:rStyle w:val="StringTok"/>
        </w:rPr>
        <w:t>"elevation"</w:t>
      </w:r>
      <w:r>
        <w:rPr>
          <w:rStyle w:val="OtherTok"/>
        </w:rPr>
        <w:t>,</w:t>
      </w:r>
      <w:r>
        <w:rPr>
          <w:rStyle w:val="NormalTok"/>
        </w:rPr>
        <w:t xml:space="preserve"> </w:t>
      </w:r>
      <w:r>
        <w:rPr>
          <w:rStyle w:val="StringTok"/>
        </w:rPr>
        <w:t>"slope"</w:t>
      </w:r>
      <w:r>
        <w:rPr>
          <w:rStyle w:val="OtherTok"/>
        </w:rPr>
        <w:t>]</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bookmarkEnd w:id="249"/>
    </w:p>
    <w:p>
      <w:pPr>
        <w:pStyle w:val="Heading2"/>
        <w:rPr/>
      </w:pPr>
      <w:bookmarkStart w:id="250" w:name="dataset-registry-integration"/>
      <w:r>
        <w:rPr>
          <w:rStyle w:val="SectionNumber"/>
        </w:rPr>
        <w:t>16.10</w:t>
      </w:r>
      <w:r>
        <w:rPr/>
        <w:tab/>
        <w:t>Dataset Registry Integration</w:t>
      </w:r>
    </w:p>
    <w:p>
      <w:pPr>
        <w:pStyle w:val="FirstParagraph"/>
        <w:rPr/>
      </w:pPr>
      <w:bookmarkStart w:id="251" w:name="dataset-registry-integration"/>
      <w:r>
        <w:rPr/>
        <w:t>The Citation Engine shall retrieve citation metadata from the Dataset Registry, which acts as the single source of truth for citation metadata. Each registered dataset shall provide dataset name, provider, official website, source URL, dataset version, license, update frequency, coverage, and citation format.</w:t>
      </w:r>
      <w:bookmarkEnd w:id="251"/>
    </w:p>
    <w:p>
      <w:pPr>
        <w:pStyle w:val="Heading2"/>
        <w:rPr/>
      </w:pPr>
      <w:bookmarkStart w:id="252" w:name="citation-deduplication"/>
      <w:r>
        <w:rPr>
          <w:rStyle w:val="SectionNumber"/>
        </w:rPr>
        <w:t>16.11</w:t>
      </w:r>
      <w:r>
        <w:rPr/>
        <w:tab/>
        <w:t>Citation Deduplication</w:t>
      </w:r>
    </w:p>
    <w:p>
      <w:pPr>
        <w:pStyle w:val="FirstParagraph"/>
        <w:rPr/>
      </w:pPr>
      <w:r>
        <w:rPr/>
        <w:t xml:space="preserve">Multiple fields may originate from the same dataset (for example, </w:t>
      </w:r>
      <w:r>
        <w:rPr>
          <w:rStyle w:val="VerbatimChar"/>
        </w:rPr>
        <w:t>elevation</w:t>
      </w:r>
      <w:r>
        <w:rPr/>
        <w:t xml:space="preserve">, </w:t>
      </w:r>
      <w:r>
        <w:rPr>
          <w:rStyle w:val="VerbatimChar"/>
        </w:rPr>
        <w:t>slope</w:t>
      </w:r>
      <w:r>
        <w:rPr/>
        <w:t xml:space="preserve">, and </w:t>
      </w:r>
      <w:r>
        <w:rPr>
          <w:rStyle w:val="VerbatimChar"/>
        </w:rPr>
        <w:t>aspect</w:t>
      </w:r>
      <w:r>
        <w:rPr/>
        <w:t xml:space="preserve"> all from ISRO CartoDEM). The Citation Engine shall generate one citation object and associate all relevant fields with it, reducing response size and improving readability.</w:t>
      </w:r>
      <w:bookmarkEnd w:id="252"/>
    </w:p>
    <w:p>
      <w:pPr>
        <w:pStyle w:val="Heading2"/>
        <w:rPr/>
      </w:pPr>
      <w:bookmarkStart w:id="253" w:name="citation-granularity"/>
      <w:r>
        <w:rPr>
          <w:rStyle w:val="SectionNumber"/>
        </w:rPr>
        <w:t>16.12</w:t>
      </w:r>
      <w:r>
        <w:rPr/>
        <w:tab/>
        <w:t>Citation Granularity</w:t>
      </w:r>
    </w:p>
    <w:p>
      <w:pPr>
        <w:pStyle w:val="FirstParagraph"/>
        <w:rPr/>
      </w:pPr>
      <w:r>
        <w:rPr/>
        <w:t xml:space="preserve">Citations shall be generated at three levels: </w:t>
      </w:r>
      <w:r>
        <w:rPr>
          <w:b/>
          <w:bCs/>
        </w:rPr>
        <w:t>Field-Level</w:t>
      </w:r>
      <w:r>
        <w:rPr/>
        <w:t xml:space="preserve"> (each field references its source dataset), </w:t>
      </w:r>
      <w:r>
        <w:rPr>
          <w:b/>
          <w:bCs/>
        </w:rPr>
        <w:t>Layer-Level</w:t>
      </w:r>
      <w:r>
        <w:rPr/>
        <w:t xml:space="preserve"> (a logical layer references all contributing datasets), and </w:t>
      </w:r>
      <w:r>
        <w:rPr>
          <w:b/>
          <w:bCs/>
        </w:rPr>
        <w:t>Response-Level</w:t>
      </w:r>
      <w:r>
        <w:rPr/>
        <w:t xml:space="preserve"> (a consolidated citation list for the complete response).</w:t>
      </w:r>
      <w:bookmarkEnd w:id="253"/>
    </w:p>
    <w:p>
      <w:pPr>
        <w:pStyle w:val="Heading2"/>
        <w:rPr/>
      </w:pPr>
      <w:bookmarkStart w:id="254" w:name="multi-dataset-citations"/>
      <w:r>
        <w:rPr>
          <w:rStyle w:val="SectionNumber"/>
        </w:rPr>
        <w:t>16.13</w:t>
      </w:r>
      <w:r>
        <w:rPr/>
        <w:tab/>
        <w:t>Multi-Dataset Citations</w:t>
      </w:r>
    </w:p>
    <w:p>
      <w:pPr>
        <w:pStyle w:val="FirstParagraph"/>
        <w:rPr/>
      </w:pPr>
      <w:bookmarkStart w:id="255" w:name="multi-dataset-citations"/>
      <w:r>
        <w:rPr/>
        <w:t>Some synthesized statements rely on multiple datasets — for example, “The site has moderate flood risk due to low elevation and proximity to a perennial river” may draw on ISRO CartoDEM, Central Water Commission, and JRC Global Surface Water. The Citation Engine shall associate all contributing datasets with the statement.</w:t>
      </w:r>
      <w:bookmarkEnd w:id="255"/>
    </w:p>
    <w:p>
      <w:pPr>
        <w:pStyle w:val="Heading2"/>
        <w:rPr/>
      </w:pPr>
      <w:bookmarkStart w:id="256" w:name="unsupported-data"/>
      <w:r>
        <w:rPr>
          <w:rStyle w:val="SectionNumber"/>
        </w:rPr>
        <w:t>16.14</w:t>
      </w:r>
      <w:r>
        <w:rPr/>
        <w:tab/>
        <w:t>Unsupported Data</w:t>
      </w:r>
    </w:p>
    <w:p>
      <w:pPr>
        <w:pStyle w:val="FirstParagraph"/>
        <w:rPr/>
      </w:pPr>
      <w:bookmarkStart w:id="257" w:name="unsupported-data"/>
      <w:r>
        <w:rPr/>
        <w:t>If a requested field is unavailable, no fabricated citation shall be generated, the response shall clearly indicate that the information is unavailable, and only successful datasets shall appear in the citation list.</w:t>
      </w:r>
      <w:bookmarkEnd w:id="257"/>
    </w:p>
    <w:p>
      <w:pPr>
        <w:pStyle w:val="Heading2"/>
        <w:rPr/>
      </w:pPr>
      <w:bookmarkStart w:id="258" w:name="citation-validation"/>
      <w:r>
        <w:rPr>
          <w:rStyle w:val="SectionNumber"/>
        </w:rPr>
        <w:t>16.15</w:t>
      </w:r>
      <w:r>
        <w:rPr/>
        <w:tab/>
        <w:t>Citation Validation</w:t>
      </w:r>
    </w:p>
    <w:p>
      <w:pPr>
        <w:pStyle w:val="FirstParagraph"/>
        <w:rPr/>
      </w:pPr>
      <w:bookmarkStart w:id="259" w:name="citation-validation"/>
      <w:r>
        <w:rPr/>
        <w:t>Before returning a citation, the Citation Engine shall validate dataset registration, dataset version, source URL, field ownership, and license information. Invalid citation metadata shall result in a system error rather than an incomplete citation.</w:t>
      </w:r>
      <w:bookmarkEnd w:id="259"/>
    </w:p>
    <w:p>
      <w:pPr>
        <w:pStyle w:val="Heading2"/>
        <w:rPr/>
      </w:pPr>
      <w:bookmarkStart w:id="260" w:name="api-integration"/>
      <w:r>
        <w:rPr>
          <w:rStyle w:val="SectionNumber"/>
        </w:rPr>
        <w:t>16.16</w:t>
      </w:r>
      <w:r>
        <w:rPr/>
        <w:tab/>
        <w:t>API Integration</w:t>
      </w:r>
    </w:p>
    <w:p>
      <w:pPr>
        <w:pStyle w:val="FirstParagraph"/>
        <w:rPr/>
      </w:pPr>
      <w:r>
        <w:rPr/>
        <w:t xml:space="preserve">The Citation Engine exposes its output through </w:t>
      </w:r>
      <w:r>
        <w:rPr>
          <w:rStyle w:val="VerbatimChar"/>
        </w:rPr>
        <w:t>/api/v1/fetch</w:t>
      </w:r>
      <w:r>
        <w:rPr/>
        <w:t xml:space="preserve"> and </w:t>
      </w:r>
      <w:r>
        <w:rPr>
          <w:rStyle w:val="VerbatimChar"/>
        </w:rPr>
        <w:t>/api/v1/ask</w:t>
      </w:r>
      <w:r>
        <w:rPr/>
        <w:t xml:space="preserve">. Future versions may include </w:t>
      </w:r>
      <w:r>
        <w:rPr>
          <w:rStyle w:val="VerbatimChar"/>
        </w:rPr>
        <w:t>GET /api/v1/citations/{citation_id}</w:t>
      </w:r>
      <w:r>
        <w:rPr/>
        <w:t xml:space="preserve"> for retrieving detailed citation metadata.</w:t>
      </w:r>
      <w:bookmarkEnd w:id="260"/>
    </w:p>
    <w:p>
      <w:pPr>
        <w:pStyle w:val="Heading2"/>
        <w:rPr/>
      </w:pPr>
      <w:bookmarkStart w:id="261" w:name="frontend-integration"/>
      <w:r>
        <w:rPr>
          <w:rStyle w:val="SectionNumber"/>
        </w:rPr>
        <w:t>16.17</w:t>
      </w:r>
      <w:r>
        <w:rPr/>
        <w:tab/>
        <w:t>Frontend Integration</w:t>
      </w:r>
    </w:p>
    <w:p>
      <w:pPr>
        <w:pStyle w:val="FirstParagraph"/>
        <w:rPr/>
      </w:pPr>
      <w:bookmarkStart w:id="262" w:name="frontend-integration"/>
      <w:r>
        <w:rPr/>
        <w:t>The frontend shall display citations in result cards, the citation panel, the provenance table, the execution timeline, and the raw JSON viewer, allowing users to inspect citation details without leaving the application.</w:t>
      </w:r>
      <w:bookmarkEnd w:id="262"/>
    </w:p>
    <w:p>
      <w:pPr>
        <w:pStyle w:val="Heading2"/>
        <w:rPr/>
      </w:pPr>
      <w:bookmarkStart w:id="263" w:name="mcp-integration"/>
      <w:r>
        <w:rPr>
          <w:rStyle w:val="SectionNumber"/>
        </w:rPr>
        <w:t>16.18</w:t>
      </w:r>
      <w:r>
        <w:rPr/>
        <w:tab/>
        <w:t>MCP Integration</w:t>
      </w:r>
    </w:p>
    <w:p>
      <w:pPr>
        <w:pStyle w:val="FirstParagraph"/>
        <w:rPr/>
      </w:pPr>
      <w:bookmarkStart w:id="264" w:name="mcp-integration"/>
      <w:r>
        <w:rPr/>
        <w:t>The MCP server shall expose citation objects to AI agents, enabling external AI systems to verify facts, trace data lineage, reference authoritative datasets, and generate explainable reports.</w:t>
      </w:r>
      <w:bookmarkEnd w:id="264"/>
    </w:p>
    <w:p>
      <w:pPr>
        <w:pStyle w:val="Heading2"/>
        <w:rPr/>
      </w:pPr>
      <w:bookmarkStart w:id="265" w:name="security-considerations"/>
      <w:r>
        <w:rPr>
          <w:rStyle w:val="SectionNumber"/>
        </w:rPr>
        <w:t>16.19</w:t>
      </w:r>
      <w:r>
        <w:rPr/>
        <w:tab/>
        <w:t>Security Considerations</w:t>
      </w:r>
    </w:p>
    <w:p>
      <w:pPr>
        <w:pStyle w:val="FirstParagraph"/>
        <w:rPr/>
      </w:pPr>
      <w:bookmarkStart w:id="266" w:name="security-considerations"/>
      <w:r>
        <w:rPr/>
        <w:t>The Citation Engine shall expose only public dataset metadata, never reveal internal storage paths, never expose credentials, sanitize URLs before returning them, and validate dataset registry entries.</w:t>
      </w:r>
      <w:bookmarkEnd w:id="266"/>
    </w:p>
    <w:p>
      <w:pPr>
        <w:pStyle w:val="Heading2"/>
        <w:rPr/>
      </w:pPr>
      <w:bookmarkStart w:id="267" w:name="future-enhancements-1"/>
      <w:r>
        <w:rPr>
          <w:rStyle w:val="SectionNumber"/>
        </w:rPr>
        <w:t>16.20</w:t>
      </w:r>
      <w:r>
        <w:rPr/>
        <w:tab/>
        <w:t>Future Enhancements</w:t>
      </w:r>
    </w:p>
    <w:p>
      <w:pPr>
        <w:pStyle w:val="FirstParagraph"/>
        <w:rPr/>
      </w:pPr>
      <w:bookmarkStart w:id="268" w:name="citation-engine"/>
      <w:bookmarkStart w:id="269" w:name="future-enhancements-1"/>
      <w:r>
        <w:rPr/>
        <w:t>The Citation Engine architecture shall support DOI-based citations, citation export (BibTeX, RIS), citation history, dataset deprecation tracking, multi-language citation formatting, citation confidence indicators, and academic citation styles (APA, IEEE).</w:t>
      </w:r>
      <w:bookmarkEnd w:id="268"/>
      <w:bookmarkEnd w:id="269"/>
    </w:p>
    <w:p>
      <w:pPr>
        <w:pStyle w:val="Heading1"/>
        <w:rPr/>
      </w:pPr>
      <w:bookmarkStart w:id="270" w:name="provenance-system"/>
      <w:r>
        <w:rPr>
          <w:rStyle w:val="SectionNumber"/>
        </w:rPr>
        <w:t>17</w:t>
      </w:r>
      <w:r>
        <w:rPr/>
        <w:tab/>
        <w:t>Provenance System</w:t>
      </w:r>
    </w:p>
    <w:p>
      <w:pPr>
        <w:pStyle w:val="FirstParagraph"/>
        <w:rPr/>
      </w:pPr>
      <w:r>
        <w:rPr/>
        <w:t>The Provenance System ensures that every geospatial value returned by Prism Earth is traceable to its original dataset. It records the complete lineage of retrieved information, enabling transparency, reproducibility, and auditability across the platform. The Provenance System works with the Metadata Catalog, Fetch Engine, Citation Engine, and Synthesizer to provide verifiable information for every API response.</w:t>
      </w:r>
    </w:p>
    <w:p>
      <w:pPr>
        <w:pStyle w:val="BodyText"/>
        <w:rPr/>
      </w:pPr>
      <w:r>
        <w:rPr/>
        <w:t>The Provenance System shall track the origin of every field, preserve dataset metadata, record retrieval timestamps, maintain dataset version history, support audit and debugging, enable citation generation, and ensure deterministic and reproducible responses.</w:t>
      </w:r>
    </w:p>
    <w:p>
      <w:pPr>
        <w:pStyle w:val="Heading2"/>
        <w:rPr/>
      </w:pPr>
      <w:bookmarkStart w:id="271" w:name="architectural-position-3"/>
      <w:r>
        <w:rPr>
          <w:rStyle w:val="SectionNumber"/>
        </w:rPr>
        <w:t>17.1</w:t>
      </w:r>
      <w:r>
        <w:rPr/>
        <w:tab/>
        <w:t>Architectural Position</w:t>
      </w:r>
    </w:p>
    <w:p>
      <w:pPr>
        <w:pStyle w:val="FirstParagraph"/>
        <w:rPr/>
      </w:pPr>
      <w:bookmarkStart w:id="272" w:name="architectural-position-3"/>
      <w:r>
        <w:rPr/>
        <w:t>The Provenance System operates after data retrieval and before response generation, sitting between the Fetch Engine and the Citation Engine in the pipeline shown in the high-level system architecture diagram (Chapter 8).</w:t>
      </w:r>
      <w:bookmarkEnd w:id="272"/>
    </w:p>
    <w:p>
      <w:pPr>
        <w:pStyle w:val="Heading2"/>
        <w:rPr/>
      </w:pPr>
      <w:r>
        <w:rPr>
          <w:rStyle w:val="SectionNumber"/>
        </w:rPr>
        <w:t>17.2</w:t>
      </w:r>
      <w:r>
        <w:rPr/>
        <w:tab/>
        <w:t>Provenance Metadata</w:t>
      </w:r>
    </w:p>
    <w:p>
      <w:pPr>
        <w:pStyle w:val="FirstParagraph"/>
        <w:rPr/>
      </w:pPr>
      <w:r>
        <w:rPr/>
        <w:t>Each retrieved field shall include the following provenance attributes: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Name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catalog field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dataset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provider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Version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release/version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URL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dataset URL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Retrieved At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Retrieval timestamp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Resolution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Spatial resolution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Coordinate reference system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Cache validity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quality indicator</w:t>
            </w:r>
            <w:bookmarkStart w:id="273" w:name="provenance-metadata"/>
            <w:bookmarkEnd w:id="273"/>
          </w:p>
        </w:tc>
      </w:tr>
    </w:tbl>
    <w:p>
      <w:pPr>
        <w:pStyle w:val="Heading2"/>
        <w:rPr/>
      </w:pPr>
      <w:r>
        <w:rPr>
          <w:rStyle w:val="SectionNumber"/>
        </w:rPr>
        <w:t>17.3</w:t>
      </w:r>
      <w:r>
        <w:rPr/>
        <w:tab/>
        <w:t>Provenance Object</w:t>
      </w:r>
    </w:p>
    <w:p>
      <w:pPr>
        <w:pStyle w:val="SourceCode"/>
        <w:rPr/>
      </w:pPr>
      <w:r>
        <w:rPr>
          <w:rStyle w:val="FunctionTok"/>
        </w:rPr>
        <w:t>{</w:t>
      </w:r>
      <w:r>
        <w:rPr/>
        <w:br/>
      </w:r>
      <w:r>
        <w:rPr>
          <w:rStyle w:val="NormalTok"/>
        </w:rPr>
        <w:t xml:space="preserve">  </w:t>
      </w:r>
      <w:r>
        <w:rPr>
          <w:rStyle w:val="DataTypeTok"/>
        </w:rPr>
        <w:t>"field"</w:t>
      </w:r>
      <w:r>
        <w:rPr>
          <w:rStyle w:val="FunctionTok"/>
        </w:rPr>
        <w:t>:</w:t>
      </w:r>
      <w:r>
        <w:rPr>
          <w:rStyle w:val="NormalTok"/>
        </w:rPr>
        <w:t xml:space="preserve"> </w:t>
      </w:r>
      <w:r>
        <w:rPr>
          <w:rStyle w:val="StringTok"/>
        </w:rPr>
        <w:t>"elevation"</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"dataset_version"</w:t>
      </w:r>
      <w:r>
        <w:rPr>
          <w:rStyle w:val="FunctionTok"/>
        </w:rPr>
        <w:t>:</w:t>
      </w:r>
      <w:r>
        <w:rPr>
          <w:rStyle w:val="NormalTok"/>
        </w:rPr>
        <w:t xml:space="preserve"> </w:t>
      </w:r>
      <w:r>
        <w:rPr>
          <w:rStyle w:val="StringTok"/>
        </w:rPr>
        <w:t>"v2.1"</w:t>
      </w:r>
      <w:r>
        <w:rPr>
          <w:rStyle w:val="FunctionTok"/>
        </w:rPr>
        <w:t>,</w:t>
      </w:r>
      <w:r>
        <w:rPr/>
        <w:br/>
      </w:r>
      <w:r>
        <w:rPr>
          <w:rStyle w:val="NormalTok"/>
        </w:rPr>
        <w:t xml:space="preserve">  </w:t>
      </w:r>
      <w:r>
        <w:rPr>
          <w:rStyle w:val="DataTypeTok"/>
        </w:rPr>
        <w:t>"source_url"</w:t>
      </w:r>
      <w:r>
        <w:rPr>
          <w:rStyle w:val="FunctionTok"/>
        </w:rPr>
        <w:t>:</w:t>
      </w:r>
      <w:r>
        <w:rPr>
          <w:rStyle w:val="NormalTok"/>
        </w:rPr>
        <w:t xml:space="preserve"> </w:t>
      </w:r>
      <w:r>
        <w:rPr>
          <w:rStyle w:val="StringTok"/>
        </w:rPr>
        <w:t>"https://bhuvan.nrsc.gov.in"</w:t>
      </w:r>
      <w:r>
        <w:rPr>
          <w:rStyle w:val="FunctionTok"/>
        </w:rPr>
        <w:t>,</w:t>
      </w:r>
      <w:r>
        <w:rPr/>
        <w:br/>
      </w:r>
      <w:r>
        <w:rPr>
          <w:rStyle w:val="NormalTok"/>
        </w:rPr>
        <w:t xml:space="preserve">  </w:t>
      </w:r>
      <w:r>
        <w:rPr>
          <w:rStyle w:val="DataTypeTok"/>
        </w:rPr>
        <w:t>"retrieved_at"</w:t>
      </w:r>
      <w:r>
        <w:rPr>
          <w:rStyle w:val="FunctionTok"/>
        </w:rPr>
        <w:t>:</w:t>
      </w:r>
      <w:r>
        <w:rPr>
          <w:rStyle w:val="NormalTok"/>
        </w:rPr>
        <w:t xml:space="preserve"> </w:t>
      </w:r>
      <w:r>
        <w:rPr>
          <w:rStyle w:val="StringTok"/>
        </w:rPr>
        <w:t>"2026-06-26T09:42:11Z"</w:t>
      </w:r>
      <w:r>
        <w:rPr>
          <w:rStyle w:val="FunctionTok"/>
        </w:rPr>
        <w:t>,</w:t>
      </w:r>
      <w:r>
        <w:rPr/>
        <w:br/>
      </w:r>
      <w:r>
        <w:rPr>
          <w:rStyle w:val="NormalTok"/>
        </w:rPr>
        <w:t xml:space="preserve">  </w:t>
      </w:r>
      <w:r>
        <w:rPr>
          <w:rStyle w:val="DataTypeTok"/>
        </w:rPr>
        <w:t>"ttl"</w:t>
      </w:r>
      <w:r>
        <w:rPr>
          <w:rStyle w:val="FunctionTok"/>
        </w:rPr>
        <w:t>:</w:t>
      </w:r>
      <w:r>
        <w:rPr>
          <w:rStyle w:val="NormalTok"/>
        </w:rPr>
        <w:t xml:space="preserve"> </w:t>
      </w:r>
      <w:r>
        <w:rPr>
          <w:rStyle w:val="StringTok"/>
        </w:rPr>
        <w:t>"30d"</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br/>
      </w:r>
      <w:r>
        <w:rPr>
          <w:rStyle w:val="FunctionTok"/>
        </w:rPr>
        <w:t>}</w:t>
      </w:r>
    </w:p>
    <w:p>
      <w:pPr>
        <w:pStyle w:val="Heading2"/>
        <w:rPr/>
      </w:pPr>
      <w:bookmarkStart w:id="274" w:name="provenance-levels"/>
      <w:r>
        <w:rPr>
          <w:rStyle w:val="SectionNumber"/>
        </w:rPr>
        <w:t>17.4</w:t>
      </w:r>
      <w:r>
        <w:rPr/>
        <w:tab/>
        <w:t>Provenance Levels</w:t>
      </w:r>
    </w:p>
    <w:p>
      <w:pPr>
        <w:pStyle w:val="FirstParagraph"/>
        <w:rPr/>
      </w:pPr>
      <w:r>
        <w:rPr/>
        <w:t xml:space="preserve">The platform maintains provenance at three levels: </w:t>
      </w:r>
      <w:r>
        <w:rPr>
          <w:b/>
          <w:bCs/>
        </w:rPr>
        <w:t>Field Level</w:t>
      </w:r>
      <w:r>
        <w:rPr/>
        <w:t xml:space="preserve"> (metadata for individual fields), </w:t>
      </w:r>
      <w:r>
        <w:rPr>
          <w:b/>
          <w:bCs/>
        </w:rPr>
        <w:t>Layer Level</w:t>
      </w:r>
      <w:r>
        <w:rPr/>
        <w:t xml:space="preserve"> (contributing datasets for each logical layer), and </w:t>
      </w:r>
      <w:r>
        <w:rPr>
          <w:b/>
          <w:bCs/>
        </w:rPr>
        <w:t>Response Level</w:t>
      </w:r>
      <w:r>
        <w:rPr/>
        <w:t xml:space="preserve"> (a consolidated list of all datasets used to generate the response).</w:t>
      </w:r>
      <w:bookmarkEnd w:id="274"/>
    </w:p>
    <w:p>
      <w:pPr>
        <w:pStyle w:val="Heading2"/>
        <w:rPr/>
      </w:pPr>
      <w:bookmarkStart w:id="275" w:name="integration-with-the-metadata-catalog"/>
      <w:r>
        <w:rPr>
          <w:rStyle w:val="SectionNumber"/>
        </w:rPr>
        <w:t>17.5</w:t>
      </w:r>
      <w:r>
        <w:rPr/>
        <w:tab/>
        <w:t>Integration with the Metadata Catalog</w:t>
      </w:r>
    </w:p>
    <w:p>
      <w:pPr>
        <w:pStyle w:val="FirstParagraph"/>
        <w:rPr/>
      </w:pPr>
      <w:bookmarkStart w:id="276" w:name="integration-with-the-metadata-catalog"/>
      <w:r>
        <w:rPr/>
        <w:t>The Provenance System uses the active metadata catalog as the authoritative source for field definitions, layers, presets, lifecycle status, availability, null semantics, and interpretation hints.</w:t>
      </w:r>
      <w:bookmarkEnd w:id="276"/>
    </w:p>
    <w:p>
      <w:pPr>
        <w:pStyle w:val="Heading2"/>
        <w:rPr/>
      </w:pPr>
      <w:bookmarkStart w:id="277" w:name="null-and-partial-failure-handling"/>
      <w:r>
        <w:rPr>
          <w:rStyle w:val="SectionNumber"/>
        </w:rPr>
        <w:t>17.6</w:t>
      </w:r>
      <w:r>
        <w:rPr/>
        <w:tab/>
        <w:t>Null and Partial Failure Handling</w:t>
      </w:r>
    </w:p>
    <w:p>
      <w:pPr>
        <w:pStyle w:val="FirstParagraph"/>
        <w:rPr/>
      </w:pPr>
      <w:bookmarkStart w:id="278" w:name="null-and-partial-failure-handling"/>
      <w:r>
        <w:rPr/>
        <w:t>When data cannot be retrieved, provenance shall record the reason — dataset unavailable, outside coverage area, unsupported state, planned field, or connector timeout. Successful fields shall retain their provenance even if other datasets fail.</w:t>
      </w:r>
      <w:bookmarkEnd w:id="278"/>
    </w:p>
    <w:p>
      <w:pPr>
        <w:pStyle w:val="Heading2"/>
        <w:rPr/>
      </w:pPr>
      <w:bookmarkStart w:id="279" w:name="api-integration-1"/>
      <w:r>
        <w:rPr>
          <w:rStyle w:val="SectionNumber"/>
        </w:rPr>
        <w:t>17.7</w:t>
      </w:r>
      <w:r>
        <w:rPr/>
        <w:tab/>
        <w:t>API Integration</w:t>
      </w:r>
    </w:p>
    <w:p>
      <w:pPr>
        <w:pStyle w:val="FirstParagraph"/>
        <w:rPr/>
      </w:pPr>
      <w:r>
        <w:rPr/>
        <w:t xml:space="preserve">Provenance metadata shall be included in </w:t>
      </w:r>
      <w:r>
        <w:rPr>
          <w:rStyle w:val="VerbatimChar"/>
        </w:rPr>
        <w:t>POST /api/v1/fetch</w:t>
      </w:r>
      <w:r>
        <w:rPr/>
        <w:t xml:space="preserve"> and </w:t>
      </w:r>
      <w:r>
        <w:rPr>
          <w:rStyle w:val="VerbatimChar"/>
        </w:rPr>
        <w:t>POST /api/v1/ask</w:t>
      </w:r>
      <w:r>
        <w:rPr/>
        <w:t>. Each API response shall include field-level provenance and a consolidated provenance summary.</w:t>
      </w:r>
      <w:bookmarkEnd w:id="279"/>
    </w:p>
    <w:p>
      <w:pPr>
        <w:pStyle w:val="Heading2"/>
        <w:rPr/>
      </w:pPr>
      <w:bookmarkStart w:id="280" w:name="frontend-integration-1"/>
      <w:r>
        <w:rPr>
          <w:rStyle w:val="SectionNumber"/>
        </w:rPr>
        <w:t>17.8</w:t>
      </w:r>
      <w:r>
        <w:rPr/>
        <w:tab/>
        <w:t>Frontend Integration</w:t>
      </w:r>
    </w:p>
    <w:p>
      <w:pPr>
        <w:pStyle w:val="FirstParagraph"/>
        <w:rPr/>
      </w:pPr>
      <w:bookmarkStart w:id="281" w:name="frontend-integration-1"/>
      <w:r>
        <w:rPr/>
        <w:t>The frontend shall display provenance through the provenance table, citation panel, execution timeline, and raw JSON viewer, enabling users to verify the origin of every returned value.</w:t>
      </w:r>
      <w:bookmarkEnd w:id="281"/>
    </w:p>
    <w:p>
      <w:pPr>
        <w:pStyle w:val="Heading2"/>
        <w:rPr/>
      </w:pPr>
      <w:bookmarkStart w:id="282" w:name="future-scalability"/>
      <w:r>
        <w:rPr>
          <w:rStyle w:val="SectionNumber"/>
        </w:rPr>
        <w:t>17.9</w:t>
      </w:r>
      <w:r>
        <w:rPr/>
        <w:tab/>
        <w:t>Future Scalability</w:t>
      </w:r>
    </w:p>
    <w:p>
      <w:pPr>
        <w:pStyle w:val="FirstParagraph"/>
        <w:rPr/>
      </w:pPr>
      <w:bookmarkStart w:id="283" w:name="provenance-system"/>
      <w:bookmarkStart w:id="284" w:name="future-scalability"/>
      <w:r>
        <w:rPr/>
        <w:t>The Provenance System shall support additional datasets, multi-state expansion, dataset version comparisons, historical provenance, compliance reporting, and AI-agent integration. No architectural changes shall be required when onboarding new states or datasets.</w:t>
      </w:r>
      <w:bookmarkEnd w:id="283"/>
      <w:bookmarkEnd w:id="284"/>
    </w:p>
    <w:p>
      <w:pPr>
        <w:pStyle w:val="Heading1"/>
        <w:rPr/>
      </w:pPr>
      <w:bookmarkStart w:id="285" w:name="dataset-connectors-1"/>
      <w:r>
        <w:rPr>
          <w:rStyle w:val="SectionNumber"/>
        </w:rPr>
        <w:t>18</w:t>
      </w:r>
      <w:r>
        <w:rPr/>
        <w:tab/>
        <w:t>Dataset Connectors</w:t>
      </w:r>
    </w:p>
    <w:p>
      <w:pPr>
        <w:pStyle w:val="FirstParagraph"/>
        <w:rPr/>
      </w:pPr>
      <w:r>
        <w:rPr/>
        <w:t>The Dataset Connector Layer retrieves geospatial information from external datasets and transforms it into the standardized Prism Earth Field Model. Each connector acts as an independent adapter between the platform and a specific data source. The connector architecture isolates external dependencies from business logic, allowing datasets to be updated, replaced, or extended without affecting the Planner, Fetch Engine, or API contracts.</w:t>
      </w:r>
    </w:p>
    <w:p>
      <w:pPr>
        <w:pStyle w:val="BodyText"/>
        <w:rPr/>
      </w:pPr>
      <w:r>
        <w:rPr/>
        <w:t>The Dataset Connector Layer shall provide standardized access to external datasets, convert dataset-specific formats into the Prism Earth Field Model, handle dataset-specific authentication and communication, validate retrieved data, generate metadata for provenance, support asynchronous execution, and enable future dataset additions without modifying core services.</w:t>
      </w:r>
    </w:p>
    <w:p>
      <w:pPr>
        <w:pStyle w:val="Heading2"/>
        <w:rPr/>
      </w:pPr>
      <w:bookmarkStart w:id="286" w:name="connector-design-principles"/>
      <w:r>
        <w:rPr>
          <w:rStyle w:val="SectionNumber"/>
        </w:rPr>
        <w:t>18.1</w:t>
      </w:r>
      <w:r>
        <w:rPr/>
        <w:tab/>
        <w:t>Connector Design Principles</w:t>
      </w:r>
    </w:p>
    <w:p>
      <w:pPr>
        <w:pStyle w:val="FirstParagraph"/>
        <w:rPr/>
      </w:pPr>
      <w:bookmarkStart w:id="287" w:name="connector-design-principles"/>
      <w:r>
        <w:rPr/>
        <w:t>Every connector shall have a single responsibility, follow a common interface, be independently testable, be configuration-driven, support retries and timeouts, return standardized field objects, report dataset metadata, and generate provenance information.</w:t>
      </w:r>
      <w:bookmarkEnd w:id="287"/>
    </w:p>
    <w:p>
      <w:pPr>
        <w:pStyle w:val="Heading2"/>
        <w:rPr/>
      </w:pPr>
      <w:bookmarkStart w:id="288" w:name="standard-connector-interface"/>
      <w:r>
        <w:rPr>
          <w:rStyle w:val="SectionNumber"/>
        </w:rPr>
        <w:t>18.2</w:t>
      </w:r>
      <w:r>
        <w:rPr/>
        <w:tab/>
        <w:t>Standard Connector Interface</w:t>
      </w:r>
    </w:p>
    <w:p>
      <w:pPr>
        <w:pStyle w:val="SourceCode"/>
        <w:rPr/>
      </w:pPr>
      <w:r>
        <w:rPr>
          <w:rStyle w:val="KeywordTok"/>
        </w:rPr>
        <w:t>class</w:t>
      </w:r>
      <w:r>
        <w:rPr>
          <w:rStyle w:val="NormalTok"/>
        </w:rPr>
        <w:t xml:space="preserve"> BaseConnector:</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initialize()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validate()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fetch()</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metadata()</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health()</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shutdown()</w:t>
      </w:r>
    </w:p>
    <w:p>
      <w:pPr>
        <w:pStyle w:val="FirstParagraph"/>
        <w:rPr/>
      </w:pPr>
      <w:bookmarkStart w:id="289" w:name="standard-connector-interface"/>
      <w:r>
        <w:rPr/>
        <w:t>This ensures consistent behavior across all data providers.</w:t>
      </w:r>
      <w:bookmarkEnd w:id="289"/>
    </w:p>
    <w:p>
      <w:pPr>
        <w:pStyle w:val="Heading2"/>
        <w:rPr/>
      </w:pPr>
      <w:bookmarkStart w:id="290" w:name="terrain-connector"/>
      <w:r>
        <w:rPr>
          <w:rStyle w:val="SectionNumber"/>
        </w:rPr>
        <w:t>18.3</w:t>
      </w:r>
      <w:r>
        <w:rPr/>
        <w:tab/>
        <w:t>Terrain Connector</w:t>
      </w:r>
    </w:p>
    <w:p>
      <w:pPr>
        <w:pStyle w:val="FirstParagraph"/>
        <w:rPr/>
      </w:pPr>
      <w:r>
        <w:rPr/>
        <w:t xml:space="preserve">Provides terrain and elevation-related information. </w:t>
      </w:r>
      <w:r>
        <w:rPr>
          <w:b/>
          <w:bCs/>
        </w:rPr>
        <w:t>Primary datasets:</w:t>
      </w:r>
      <w:r>
        <w:rPr/>
        <w:t xml:space="preserve"> ISRO Bhuvan CartoDEM, Copernicus DEM, SoilGrids. </w:t>
      </w:r>
      <w:r>
        <w:rPr>
          <w:b/>
          <w:bCs/>
        </w:rPr>
        <w:t>Supported fields:</w:t>
      </w:r>
      <w:r>
        <w:rPr/>
        <w:t xml:space="preserve"> </w:t>
      </w:r>
      <w:r>
        <w:rPr>
          <w:rStyle w:val="VerbatimChar"/>
        </w:rPr>
        <w:t>elevation</w:t>
      </w:r>
      <w:r>
        <w:rPr/>
        <w:t xml:space="preserve">, </w:t>
      </w:r>
      <w:r>
        <w:rPr>
          <w:rStyle w:val="VerbatimChar"/>
        </w:rPr>
        <w:t>slope</w:t>
      </w:r>
      <w:r>
        <w:rPr/>
        <w:t xml:space="preserve">, </w:t>
      </w:r>
      <w:r>
        <w:rPr>
          <w:rStyle w:val="VerbatimChar"/>
        </w:rPr>
        <w:t>aspect</w:t>
      </w:r>
      <w:r>
        <w:rPr/>
        <w:t xml:space="preserve">, </w:t>
      </w:r>
      <w:r>
        <w:rPr>
          <w:rStyle w:val="VerbatimChar"/>
        </w:rPr>
        <w:t>terrain_roughness</w:t>
      </w:r>
      <w:r>
        <w:rPr/>
        <w:t xml:space="preserve">, </w:t>
      </w:r>
      <w:r>
        <w:rPr>
          <w:rStyle w:val="VerbatimChar"/>
        </w:rPr>
        <w:t>topographic_wetness_index</w:t>
      </w:r>
      <w:r>
        <w:rPr/>
        <w:t xml:space="preserve">, </w:t>
      </w:r>
      <w:r>
        <w:rPr>
          <w:rStyle w:val="VerbatimChar"/>
        </w:rPr>
        <w:t>soil_drainage_class</w:t>
      </w:r>
      <w:r>
        <w:rPr/>
        <w:t xml:space="preserve">, </w:t>
      </w:r>
      <w:r>
        <w:rPr>
          <w:rStyle w:val="VerbatimChar"/>
        </w:rPr>
        <w:t>groundwater_depth_m</w:t>
      </w:r>
      <w:r>
        <w:rPr/>
        <w:t>.</w:t>
      </w:r>
      <w:bookmarkEnd w:id="290"/>
    </w:p>
    <w:p>
      <w:pPr>
        <w:pStyle w:val="Heading2"/>
        <w:rPr/>
      </w:pPr>
      <w:bookmarkStart w:id="291" w:name="climate-connector"/>
      <w:r>
        <w:rPr>
          <w:rStyle w:val="SectionNumber"/>
        </w:rPr>
        <w:t>18.4</w:t>
      </w:r>
      <w:r>
        <w:rPr/>
        <w:tab/>
        <w:t>Climate Connector</w:t>
      </w:r>
    </w:p>
    <w:p>
      <w:pPr>
        <w:pStyle w:val="FirstParagraph"/>
        <w:rPr/>
      </w:pPr>
      <w:r>
        <w:rPr/>
        <w:t xml:space="preserve">Provides climate and weather-derived information. </w:t>
      </w:r>
      <w:r>
        <w:rPr>
          <w:b/>
          <w:bCs/>
        </w:rPr>
        <w:t>Primary datasets:</w:t>
      </w:r>
      <w:r>
        <w:rPr/>
        <w:t xml:space="preserve"> TerraClimate, ERA5. </w:t>
      </w:r>
      <w:r>
        <w:rPr>
          <w:b/>
          <w:bCs/>
        </w:rPr>
        <w:t>Supported fields:</w:t>
      </w:r>
      <w:r>
        <w:rPr/>
        <w:t xml:space="preserve"> </w:t>
      </w:r>
      <w:r>
        <w:rPr>
          <w:rStyle w:val="VerbatimChar"/>
        </w:rPr>
        <w:t>annual_rainfall_mm</w:t>
      </w:r>
      <w:r>
        <w:rPr/>
        <w:t xml:space="preserve">, </w:t>
      </w:r>
      <w:r>
        <w:rPr>
          <w:rStyle w:val="VerbatimChar"/>
        </w:rPr>
        <w:t>annual_temperature_c</w:t>
      </w:r>
      <w:r>
        <w:rPr/>
        <w:t xml:space="preserve">, </w:t>
      </w:r>
      <w:r>
        <w:rPr>
          <w:rStyle w:val="VerbatimChar"/>
        </w:rPr>
        <w:t>aridity_index</w:t>
      </w:r>
      <w:r>
        <w:rPr/>
        <w:t xml:space="preserve">, </w:t>
      </w:r>
      <w:r>
        <w:rPr>
          <w:rStyle w:val="VerbatimChar"/>
        </w:rPr>
        <w:t>evapotranspiration</w:t>
      </w:r>
      <w:r>
        <w:rPr/>
        <w:t xml:space="preserve">, </w:t>
      </w:r>
      <w:r>
        <w:rPr>
          <w:rStyle w:val="VerbatimChar"/>
        </w:rPr>
        <w:t>wind_speed</w:t>
      </w:r>
      <w:r>
        <w:rPr/>
        <w:t>.</w:t>
      </w:r>
      <w:bookmarkEnd w:id="291"/>
    </w:p>
    <w:p>
      <w:pPr>
        <w:pStyle w:val="Heading2"/>
        <w:rPr/>
      </w:pPr>
      <w:bookmarkStart w:id="292" w:name="land-cover-connector"/>
      <w:r>
        <w:rPr>
          <w:rStyle w:val="SectionNumber"/>
        </w:rPr>
        <w:t>18.5</w:t>
      </w:r>
      <w:r>
        <w:rPr/>
        <w:tab/>
        <w:t>Land Cover Connector</w:t>
      </w:r>
    </w:p>
    <w:p>
      <w:pPr>
        <w:pStyle w:val="FirstParagraph"/>
        <w:rPr/>
      </w:pPr>
      <w:r>
        <w:rPr/>
        <w:t xml:space="preserve">Provides vegetation and land-use information. </w:t>
      </w:r>
      <w:r>
        <w:rPr>
          <w:b/>
          <w:bCs/>
        </w:rPr>
        <w:t>Primary datasets:</w:t>
      </w:r>
      <w:r>
        <w:rPr/>
        <w:t xml:space="preserve"> Copernicus Sentinel-2, ISRO Bhuvan LULC. </w:t>
      </w:r>
      <w:r>
        <w:rPr>
          <w:b/>
          <w:bCs/>
        </w:rPr>
        <w:t>Supported fields:</w:t>
      </w:r>
      <w:r>
        <w:rPr/>
        <w:t xml:space="preserve"> </w:t>
      </w:r>
      <w:r>
        <w:rPr>
          <w:rStyle w:val="VerbatimChar"/>
        </w:rPr>
        <w:t>ndvi_current</w:t>
      </w:r>
      <w:r>
        <w:rPr/>
        <w:t xml:space="preserve">, </w:t>
      </w:r>
      <w:r>
        <w:rPr>
          <w:rStyle w:val="VerbatimChar"/>
        </w:rPr>
        <w:t>ndvi_historical</w:t>
      </w:r>
      <w:r>
        <w:rPr/>
        <w:t xml:space="preserve">, </w:t>
      </w:r>
      <w:r>
        <w:rPr>
          <w:rStyle w:val="VerbatimChar"/>
        </w:rPr>
        <w:t>dominant_land_cover</w:t>
      </w:r>
      <w:r>
        <w:rPr/>
        <w:t xml:space="preserve">, </w:t>
      </w:r>
      <w:r>
        <w:rPr>
          <w:rStyle w:val="VerbatimChar"/>
        </w:rPr>
        <w:t>tree_canopy_pct</w:t>
      </w:r>
      <w:r>
        <w:rPr/>
        <w:t xml:space="preserve">, </w:t>
      </w:r>
      <w:r>
        <w:rPr>
          <w:rStyle w:val="VerbatimChar"/>
        </w:rPr>
        <w:t>cropland_class</w:t>
      </w:r>
      <w:r>
        <w:rPr/>
        <w:t xml:space="preserve">, </w:t>
      </w:r>
      <w:r>
        <w:rPr>
          <w:rStyle w:val="VerbatimChar"/>
        </w:rPr>
        <w:t>wetland_presence</w:t>
      </w:r>
      <w:r>
        <w:rPr/>
        <w:t>.</w:t>
      </w:r>
      <w:bookmarkEnd w:id="292"/>
    </w:p>
    <w:p>
      <w:pPr>
        <w:pStyle w:val="Heading2"/>
        <w:rPr/>
      </w:pPr>
      <w:bookmarkStart w:id="293" w:name="natural-hazard-connector"/>
      <w:r>
        <w:rPr>
          <w:rStyle w:val="SectionNumber"/>
        </w:rPr>
        <w:t>18.6</w:t>
      </w:r>
      <w:r>
        <w:rPr/>
        <w:tab/>
        <w:t>Natural Hazard Connector</w:t>
      </w:r>
    </w:p>
    <w:p>
      <w:pPr>
        <w:pStyle w:val="FirstParagraph"/>
        <w:rPr/>
      </w:pPr>
      <w:r>
        <w:rPr/>
        <w:t xml:space="preserve">Provides hazard-related geospatial information. </w:t>
      </w:r>
      <w:r>
        <w:rPr>
          <w:b/>
          <w:bCs/>
        </w:rPr>
        <w:t>Primary datasets:</w:t>
      </w:r>
      <w:r>
        <w:rPr/>
        <w:t xml:space="preserve"> Central Water Commission (CWC), NRSC Waterbody Database, JRC Global Surface Water, NASA FIRMS. </w:t>
      </w:r>
      <w:r>
        <w:rPr>
          <w:b/>
          <w:bCs/>
        </w:rPr>
        <w:t>Supported fields:</w:t>
      </w:r>
      <w:r>
        <w:rPr/>
        <w:t xml:space="preserve"> </w:t>
      </w:r>
      <w:r>
        <w:rPr>
          <w:rStyle w:val="VerbatimChar"/>
        </w:rPr>
        <w:t>flood_hazard_class</w:t>
      </w:r>
      <w:r>
        <w:rPr/>
        <w:t xml:space="preserve">, </w:t>
      </w:r>
      <w:r>
        <w:rPr>
          <w:rStyle w:val="VerbatimChar"/>
        </w:rPr>
        <w:t>within_flood_hazard_polygon</w:t>
      </w:r>
      <w:r>
        <w:rPr/>
        <w:t xml:space="preserve">, </w:t>
      </w:r>
      <w:r>
        <w:rPr>
          <w:rStyle w:val="VerbatimChar"/>
        </w:rPr>
        <w:t>nearest_waterbody_distance_m</w:t>
      </w:r>
      <w:r>
        <w:rPr/>
        <w:t xml:space="preserve">, </w:t>
      </w:r>
      <w:r>
        <w:rPr>
          <w:rStyle w:val="VerbatimChar"/>
        </w:rPr>
        <w:t>wildfire_risk</w:t>
      </w:r>
      <w:r>
        <w:rPr/>
        <w:t xml:space="preserve">, </w:t>
      </w:r>
      <w:r>
        <w:rPr>
          <w:rStyle w:val="VerbatimChar"/>
        </w:rPr>
        <w:t>active_fire_count_10km_24h</w:t>
      </w:r>
      <w:r>
        <w:rPr/>
        <w:t>.</w:t>
      </w:r>
      <w:bookmarkEnd w:id="293"/>
    </w:p>
    <w:p>
      <w:pPr>
        <w:pStyle w:val="Heading2"/>
        <w:rPr/>
      </w:pPr>
      <w:bookmarkStart w:id="294" w:name="infrastructure-connector"/>
      <w:r>
        <w:rPr>
          <w:rStyle w:val="SectionNumber"/>
        </w:rPr>
        <w:t>18.7</w:t>
      </w:r>
      <w:r>
        <w:rPr/>
        <w:tab/>
        <w:t>Infrastructure Connector</w:t>
      </w:r>
    </w:p>
    <w:p>
      <w:pPr>
        <w:pStyle w:val="FirstParagraph"/>
        <w:rPr/>
      </w:pPr>
      <w:r>
        <w:rPr/>
        <w:t xml:space="preserve">Provides infrastructure and accessibility information. </w:t>
      </w:r>
      <w:r>
        <w:rPr>
          <w:b/>
          <w:bCs/>
        </w:rPr>
        <w:t>Supported fields:</w:t>
      </w:r>
      <w:r>
        <w:rPr/>
        <w:t xml:space="preserve"> </w:t>
      </w:r>
      <w:r>
        <w:rPr>
          <w:rStyle w:val="VerbatimChar"/>
        </w:rPr>
        <w:t>nearest_highway_distance</w:t>
      </w:r>
      <w:r>
        <w:rPr/>
        <w:t xml:space="preserve">, </w:t>
      </w:r>
      <w:r>
        <w:rPr>
          <w:rStyle w:val="VerbatimChar"/>
        </w:rPr>
        <w:t>nearest_railway_distance</w:t>
      </w:r>
      <w:r>
        <w:rPr/>
        <w:t xml:space="preserve">, </w:t>
      </w:r>
      <w:r>
        <w:rPr>
          <w:rStyle w:val="VerbatimChar"/>
        </w:rPr>
        <w:t>nearest_substation_distance</w:t>
      </w:r>
      <w:r>
        <w:rPr/>
        <w:t xml:space="preserve">, </w:t>
      </w:r>
      <w:r>
        <w:rPr>
          <w:rStyle w:val="VerbatimChar"/>
        </w:rPr>
        <w:t>nearest_powerline_distance</w:t>
      </w:r>
      <w:r>
        <w:rPr/>
        <w:t xml:space="preserve">, </w:t>
      </w:r>
      <w:r>
        <w:rPr>
          <w:rStyle w:val="VerbatimChar"/>
        </w:rPr>
        <w:t>telecom_coverage</w:t>
      </w:r>
      <w:r>
        <w:rPr/>
        <w:t>. Future releases may include airports, ports, industrial corridors, and logistics infrastructure.</w:t>
      </w:r>
      <w:bookmarkEnd w:id="294"/>
    </w:p>
    <w:p>
      <w:pPr>
        <w:pStyle w:val="Heading2"/>
        <w:rPr/>
      </w:pPr>
      <w:bookmarkStart w:id="295" w:name="administrative-connector"/>
      <w:r>
        <w:rPr>
          <w:rStyle w:val="SectionNumber"/>
        </w:rPr>
        <w:t>18.8</w:t>
      </w:r>
      <w:r>
        <w:rPr/>
        <w:tab/>
        <w:t>Administrative Connector</w:t>
      </w:r>
    </w:p>
    <w:p>
      <w:pPr>
        <w:pStyle w:val="FirstParagraph"/>
        <w:rPr/>
      </w:pPr>
      <w:r>
        <w:rPr/>
        <w:t xml:space="preserve">Returns administrative boundaries and location hierarchy. </w:t>
      </w:r>
      <w:r>
        <w:rPr>
          <w:b/>
          <w:bCs/>
        </w:rPr>
        <w:t>Primary datasets:</w:t>
      </w:r>
      <w:r>
        <w:rPr/>
        <w:t xml:space="preserve"> Survey of India Administrative Boundary Database, NAKSHA Administrative Layers. </w:t>
      </w:r>
      <w:r>
        <w:rPr>
          <w:b/>
          <w:bCs/>
        </w:rPr>
        <w:t>Supported fields:</w:t>
      </w:r>
      <w:r>
        <w:rPr/>
        <w:t xml:space="preserve"> </w:t>
      </w:r>
      <w:r>
        <w:rPr>
          <w:rStyle w:val="VerbatimChar"/>
        </w:rPr>
        <w:t>state_name</w:t>
      </w:r>
      <w:r>
        <w:rPr/>
        <w:t xml:space="preserve">, </w:t>
      </w:r>
      <w:r>
        <w:rPr>
          <w:rStyle w:val="VerbatimChar"/>
        </w:rPr>
        <w:t>district_name</w:t>
      </w:r>
      <w:r>
        <w:rPr/>
        <w:t xml:space="preserve">, </w:t>
      </w:r>
      <w:r>
        <w:rPr>
          <w:rStyle w:val="VerbatimChar"/>
        </w:rPr>
        <w:t>taluk_name</w:t>
      </w:r>
      <w:r>
        <w:rPr/>
        <w:t xml:space="preserve">, </w:t>
      </w:r>
      <w:r>
        <w:rPr>
          <w:rStyle w:val="VerbatimChar"/>
        </w:rPr>
        <w:t>village_name</w:t>
      </w:r>
      <w:r>
        <w:rPr/>
        <w:t xml:space="preserve">, </w:t>
      </w:r>
      <w:r>
        <w:rPr>
          <w:rStyle w:val="VerbatimChar"/>
        </w:rPr>
        <w:t>municipality_name</w:t>
      </w:r>
      <w:r>
        <w:rPr/>
        <w:t xml:space="preserve">, </w:t>
      </w:r>
      <w:r>
        <w:rPr>
          <w:rStyle w:val="VerbatimChar"/>
        </w:rPr>
        <w:t>ward_name</w:t>
      </w:r>
      <w:r>
        <w:rPr/>
        <w:t>.</w:t>
      </w:r>
      <w:bookmarkEnd w:id="295"/>
    </w:p>
    <w:p>
      <w:pPr>
        <w:pStyle w:val="Heading2"/>
        <w:rPr/>
      </w:pPr>
      <w:bookmarkStart w:id="296" w:name="cadastral-connector"/>
      <w:r>
        <w:rPr>
          <w:rStyle w:val="SectionNumber"/>
        </w:rPr>
        <w:t>18.9</w:t>
      </w:r>
      <w:r>
        <w:rPr/>
        <w:tab/>
        <w:t>Cadastral Connector</w:t>
      </w:r>
    </w:p>
    <w:p>
      <w:pPr>
        <w:pStyle w:val="FirstParagraph"/>
        <w:rPr/>
      </w:pPr>
      <w:r>
        <w:rPr/>
        <w:t xml:space="preserve">Provides parcel-level information. </w:t>
      </w:r>
      <w:r>
        <w:rPr>
          <w:b/>
          <w:bCs/>
        </w:rPr>
        <w:t>Supported fields:</w:t>
      </w:r>
      <w:r>
        <w:rPr/>
        <w:t xml:space="preserve"> </w:t>
      </w:r>
      <w:r>
        <w:rPr>
          <w:rStyle w:val="VerbatimChar"/>
        </w:rPr>
        <w:t>parcel_id</w:t>
      </w:r>
      <w:r>
        <w:rPr/>
        <w:t xml:space="preserve">, </w:t>
      </w:r>
      <w:r>
        <w:rPr>
          <w:rStyle w:val="VerbatimChar"/>
        </w:rPr>
        <w:t>survey_number</w:t>
      </w:r>
      <w:r>
        <w:rPr/>
        <w:t xml:space="preserve">, </w:t>
      </w:r>
      <w:r>
        <w:rPr>
          <w:rStyle w:val="VerbatimChar"/>
        </w:rPr>
        <w:t>parcel_area</w:t>
      </w:r>
      <w:r>
        <w:rPr/>
        <w:t xml:space="preserve">, </w:t>
      </w:r>
      <w:r>
        <w:rPr>
          <w:rStyle w:val="VerbatimChar"/>
        </w:rPr>
        <w:t>zoning</w:t>
      </w:r>
      <w:r>
        <w:rPr/>
        <w:t xml:space="preserve">, </w:t>
      </w:r>
      <w:r>
        <w:rPr>
          <w:rStyle w:val="VerbatimChar"/>
        </w:rPr>
        <w:t>ownership_category</w:t>
      </w:r>
      <w:r>
        <w:rPr/>
        <w:t>. Available only within the active pilot region. Future state implementations shall provide equivalent cadastral datasets through configuration.</w:t>
      </w:r>
      <w:bookmarkEnd w:id="296"/>
    </w:p>
    <w:p>
      <w:pPr>
        <w:pStyle w:val="Heading2"/>
        <w:rPr/>
      </w:pPr>
      <w:bookmarkStart w:id="297" w:name="connector-registry-1"/>
      <w:r>
        <w:rPr>
          <w:rStyle w:val="SectionNumber"/>
        </w:rPr>
        <w:t>18.10</w:t>
      </w:r>
      <w:r>
        <w:rPr/>
        <w:tab/>
        <w:t>Connector Registry</w:t>
      </w:r>
    </w:p>
    <w:p>
      <w:pPr>
        <w:pStyle w:val="FirstParagraph"/>
        <w:rPr/>
      </w:pPr>
      <w:bookmarkStart w:id="298" w:name="connector-registry-1"/>
      <w:r>
        <w:rPr/>
        <w:t>The Connector Registry maintains the mapping between metadata fields and dataset connectors, handling connector discovery, field ownership, connector initialization, health monitoring, and lifecycle management. The Fetch Engine shall consult the registry before every execution.</w:t>
      </w:r>
      <w:bookmarkEnd w:id="298"/>
    </w:p>
    <w:p>
      <w:pPr>
        <w:pStyle w:val="Heading2"/>
        <w:rPr/>
      </w:pPr>
      <w:bookmarkStart w:id="299" w:name="data-standardization"/>
      <w:r>
        <w:rPr>
          <w:rStyle w:val="SectionNumber"/>
        </w:rPr>
        <w:t>18.11</w:t>
      </w:r>
      <w:r>
        <w:rPr/>
        <w:tab/>
        <w:t>Data Standardization</w:t>
      </w:r>
    </w:p>
    <w:p>
      <w:pPr>
        <w:pStyle w:val="FirstParagraph"/>
        <w:rPr/>
      </w:pPr>
      <w:r>
        <w:rPr/>
        <w:t>Regardless of the original dataset format, every connector shall return the standard Prism Earth Field Object, allowing downstream components to remain dataset-independent:</w:t>
      </w:r>
    </w:p>
    <w:p>
      <w:pPr>
        <w:pStyle w:val="SourceCode"/>
        <w:rPr/>
      </w:pP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"elevation"</w:t>
      </w:r>
      <w:r>
        <w:rPr>
          <w:rStyle w:val="FunctionTok"/>
        </w:rPr>
        <w:t>,</w:t>
      </w:r>
      <w:r>
        <w:rPr/>
        <w:br/>
      </w:r>
      <w:r>
        <w:rPr>
          <w:rStyle w:val="NormalTok"/>
        </w:rPr>
        <w:t xml:space="preserve">  </w:t>
      </w:r>
      <w:r>
        <w:rPr>
          <w:rStyle w:val="DataTypeTok"/>
        </w:rPr>
        <w:t>"value"</w:t>
      </w:r>
      <w:r>
        <w:rPr>
          <w:rStyle w:val="FunctionTok"/>
        </w:rPr>
        <w:t>:</w:t>
      </w:r>
      <w:r>
        <w:rPr>
          <w:rStyle w:val="NormalTok"/>
        </w:rPr>
        <w:t xml:space="preserve"> </w:t>
      </w:r>
      <w:r>
        <w:rPr>
          <w:rStyle w:val="FloatTok"/>
        </w:rPr>
        <w:t>542.13</w:t>
      </w:r>
      <w:r>
        <w:rPr>
          <w:rStyle w:val="FunctionTok"/>
        </w:rPr>
        <w:t>,</w:t>
      </w:r>
      <w:r>
        <w:rPr/>
        <w:br/>
      </w:r>
      <w:r>
        <w:rPr>
          <w:rStyle w:val="NormalTok"/>
        </w:rPr>
        <w:t xml:space="preserve">  </w:t>
      </w:r>
      <w:r>
        <w:rPr>
          <w:rStyle w:val="DataTypeTok"/>
        </w:rPr>
        <w:t>"unit"</w:t>
      </w:r>
      <w:r>
        <w:rPr>
          <w:rStyle w:val="FunctionTok"/>
        </w:rPr>
        <w:t>:</w:t>
      </w:r>
      <w:r>
        <w:rPr>
          <w:rStyle w:val="NormalTok"/>
        </w:rPr>
        <w:t xml:space="preserve"> </w:t>
      </w:r>
      <w:r>
        <w:rPr>
          <w:rStyle w:val="StringTok"/>
        </w:rPr>
        <w:t>"m"</w:t>
      </w:r>
      <w:r>
        <w:rPr>
          <w:rStyle w:val="FunctionTok"/>
        </w:rPr>
        <w:t>,</w:t>
      </w:r>
      <w:r>
        <w:rPr/>
        <w:br/>
      </w:r>
      <w:r>
        <w:rPr>
          <w:rStyle w:val="NormalTok"/>
        </w:rPr>
        <w:t xml:space="preserve">  </w:t>
      </w:r>
      <w:r>
        <w:rPr>
          <w:rStyle w:val="DataTypeTok"/>
        </w:rPr>
        <w:t>"datatype"</w:t>
      </w:r>
      <w:r>
        <w:rPr>
          <w:rStyle w:val="FunctionTok"/>
        </w:rPr>
        <w:t>:</w:t>
      </w:r>
      <w:r>
        <w:rPr>
          <w:rStyle w:val="NormalTok"/>
        </w:rPr>
        <w:t xml:space="preserve"> </w:t>
      </w:r>
      <w:r>
        <w:rPr>
          <w:rStyle w:val="StringTok"/>
        </w:rPr>
        <w:t>"float"</w:t>
      </w:r>
      <w:r>
        <w:rPr>
          <w:rStyle w:val="FunctionTok"/>
        </w:rPr>
        <w:t>,</w:t>
      </w:r>
      <w:r>
        <w:rPr/>
        <w:br/>
      </w:r>
      <w:r>
        <w:rPr>
          <w:rStyle w:val="NormalTok"/>
        </w:rPr>
        <w:t xml:space="preserve">  </w:t>
      </w:r>
      <w:r>
        <w:rPr>
          <w:rStyle w:val="DataTypeTok"/>
        </w:rPr>
        <w:t>"dataset"</w:t>
      </w:r>
      <w:r>
        <w:rPr>
          <w:rStyle w:val="FunctionTok"/>
        </w:rPr>
        <w:t>:</w:t>
      </w:r>
      <w:r>
        <w:rPr>
          <w:rStyle w:val="NormalTok"/>
        </w:rPr>
        <w:t xml:space="preserve"> </w:t>
      </w:r>
      <w:r>
        <w:rPr>
          <w:rStyle w:val="StringTok"/>
        </w:rPr>
        <w:t>"ISRO CartoDEM"</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br/>
      </w:r>
      <w:r>
        <w:rPr>
          <w:rStyle w:val="FunctionTok"/>
        </w:rPr>
        <w:t>}</w:t>
      </w:r>
      <w:bookmarkEnd w:id="299"/>
    </w:p>
    <w:p>
      <w:pPr>
        <w:pStyle w:val="Heading2"/>
        <w:rPr/>
      </w:pPr>
      <w:bookmarkStart w:id="300" w:name="connector-health-monitoring"/>
      <w:r>
        <w:rPr>
          <w:rStyle w:val="SectionNumber"/>
        </w:rPr>
        <w:t>18.12</w:t>
      </w:r>
      <w:r>
        <w:rPr/>
        <w:tab/>
        <w:t>Connector Health Monitoring</w:t>
      </w:r>
    </w:p>
    <w:p>
      <w:pPr>
        <w:pStyle w:val="FirstParagraph"/>
        <w:rPr/>
      </w:pPr>
      <w:bookmarkStart w:id="301" w:name="connector-health-monitoring"/>
      <w:r>
        <w:rPr/>
        <w:t>Each connector shall expose health information including operational status, last successful synchronization, dataset version, average response time, and error count, available through the platform monitoring system.</w:t>
      </w:r>
      <w:bookmarkEnd w:id="301"/>
    </w:p>
    <w:p>
      <w:pPr>
        <w:pStyle w:val="Heading2"/>
        <w:rPr/>
      </w:pPr>
      <w:bookmarkStart w:id="302" w:name="error-handling-2"/>
      <w:r>
        <w:rPr>
          <w:rStyle w:val="SectionNumber"/>
        </w:rPr>
        <w:t>18.13</w:t>
      </w:r>
      <w:r>
        <w:rPr/>
        <w:tab/>
        <w:t>Error Handling</w:t>
      </w:r>
    </w:p>
    <w:p>
      <w:pPr>
        <w:pStyle w:val="FirstParagraph"/>
        <w:rPr/>
      </w:pPr>
      <w:bookmarkStart w:id="303" w:name="error-handling-2"/>
      <w:r>
        <w:rPr/>
        <w:t>Connectors shall implement timeout handling, automatic retries, structured exceptions, graceful degradation, and partial-failure reporting. A failure in one connector shall not affect other connectors.</w:t>
      </w:r>
      <w:bookmarkEnd w:id="303"/>
    </w:p>
    <w:p>
      <w:pPr>
        <w:pStyle w:val="Heading2"/>
        <w:rPr/>
      </w:pPr>
      <w:bookmarkStart w:id="304" w:name="future-expansion"/>
      <w:r>
        <w:rPr>
          <w:rStyle w:val="SectionNumber"/>
        </w:rPr>
        <w:t>18.14</w:t>
      </w:r>
      <w:r>
        <w:rPr/>
        <w:tab/>
        <w:t>Future Expansion</w:t>
      </w:r>
    </w:p>
    <w:p>
      <w:pPr>
        <w:pStyle w:val="FirstParagraph"/>
        <w:rPr/>
      </w:pPr>
      <w:bookmarkStart w:id="305" w:name="dataset-connectors-1"/>
      <w:bookmarkStart w:id="306" w:name="future-expansion"/>
      <w:r>
        <w:rPr/>
        <w:t>The connector architecture shall support additional Indian states, new government datasets, alternative satellite providers, commercial data providers, and real-time streaming datasets. Adding a new connector shall require only implementing the standard connector interface, registering the connector, and updating the metadata catalog — with no modifications to the Planner, Fetch Engine, or API layer.</w:t>
      </w:r>
      <w:bookmarkEnd w:id="305"/>
      <w:bookmarkEnd w:id="306"/>
    </w:p>
    <w:p>
      <w:pPr>
        <w:pStyle w:val="Heading1"/>
        <w:rPr/>
      </w:pPr>
      <w:bookmarkStart w:id="307" w:name="google-earth-engine-integration"/>
      <w:r>
        <w:rPr>
          <w:rStyle w:val="SectionNumber"/>
        </w:rPr>
        <w:t>19</w:t>
      </w:r>
      <w:r>
        <w:rPr/>
        <w:tab/>
        <w:t>Google Earth Engine Integration</w:t>
      </w:r>
    </w:p>
    <w:p>
      <w:pPr>
        <w:pStyle w:val="FirstParagraph"/>
        <w:rPr/>
      </w:pPr>
      <w:r>
        <w:rPr/>
        <w:t>Google Earth Engine (GEE) is the primary geospatial processing platform used by Prism Earth for querying, analyzing, and processing satellite imagery and climate datasets. It provides scalable access to petabytes of geospatial data without requiring local storage or manual processing. The platform uses Google Earth Engine for dynamic and near real-time environmental analysis, while static datasets are managed through PostGIS.</w:t>
      </w:r>
    </w:p>
    <w:p>
      <w:pPr>
        <w:pStyle w:val="BodyText"/>
        <w:rPr/>
      </w:pPr>
      <w:r>
        <w:rPr/>
        <w:t>The Google Earth Engine integration shall provide cloud-based geospatial analysis, process satellite imagery efficiently, retrieve dynamic environmental data, reduce local infrastructure requirements, support scalable raster processing, and enable future nationwide deployment.</w:t>
      </w:r>
    </w:p>
    <w:p>
      <w:pPr>
        <w:pStyle w:val="Heading2"/>
        <w:rPr/>
      </w:pPr>
      <w:bookmarkStart w:id="308" w:name="architecture"/>
      <w:r>
        <w:rPr>
          <w:rStyle w:val="SectionNumber"/>
        </w:rPr>
        <w:t>19.1</w:t>
      </w:r>
      <w:r>
        <w:rPr/>
        <w:tab/>
        <w:t>Architecture</w:t>
      </w:r>
    </w:p>
    <w:p>
      <w:pPr>
        <w:pStyle w:val="FirstParagraph"/>
        <w:rPr/>
      </w:pPr>
      <w:bookmarkStart w:id="309" w:name="architecture"/>
      <w:r>
        <w:rPr/>
        <w:t>The Earth Engine Connector abstracts all interactions with the Google Earth Engine API. Within the platform pipeline (Chapter 8), the Fetch Engine routes raster and climate queries to the Earth Engine Connector, which calls the Earth Engine API, processes the relevant satellite and climate datasets, and returns standardized, provenance-annotated results.</w:t>
      </w:r>
      <w:bookmarkEnd w:id="309"/>
    </w:p>
    <w:p>
      <w:pPr>
        <w:pStyle w:val="Heading2"/>
        <w:rPr/>
      </w:pPr>
      <w:bookmarkStart w:id="310" w:name="responsibilities-3"/>
      <w:r>
        <w:rPr>
          <w:rStyle w:val="SectionNumber"/>
        </w:rPr>
        <w:t>19.2</w:t>
      </w:r>
      <w:r>
        <w:rPr/>
        <w:tab/>
        <w:t>Responsibilities</w:t>
      </w:r>
    </w:p>
    <w:p>
      <w:pPr>
        <w:pStyle w:val="FirstParagraph"/>
        <w:rPr/>
      </w:pPr>
      <w:bookmarkStart w:id="311" w:name="responsibilities-3"/>
      <w:r>
        <w:rPr/>
        <w:t>The Earth Engine Connector shall authenticate with Google Earth Engine, execute geospatial queries, process raster datasets, extract values for specified coordinates, handle spatial clipping, perform temporal filtering, return standardized field objects, and generate provenance metadata.</w:t>
      </w:r>
      <w:bookmarkEnd w:id="311"/>
    </w:p>
    <w:p>
      <w:pPr>
        <w:pStyle w:val="Heading2"/>
        <w:rPr/>
      </w:pPr>
      <w:bookmarkStart w:id="312" w:name="authentication-1"/>
      <w:r>
        <w:rPr>
          <w:rStyle w:val="SectionNumber"/>
        </w:rPr>
        <w:t>19.3</w:t>
      </w:r>
      <w:r>
        <w:rPr/>
        <w:tab/>
        <w:t>Authentication</w:t>
      </w:r>
    </w:p>
    <w:p>
      <w:pPr>
        <w:pStyle w:val="FirstParagraph"/>
        <w:rPr/>
      </w:pPr>
      <w:bookmarkStart w:id="313" w:name="authentication-1"/>
      <w:r>
        <w:rPr/>
        <w:t>Authentication shall use a dedicated Google Cloud service account. Credentials shall be stored securely using environment variables or a secrets-management solution. The application shall never expose credentials to the frontend or API consumers.</w:t>
      </w:r>
      <w:bookmarkEnd w:id="313"/>
    </w:p>
    <w:p>
      <w:pPr>
        <w:pStyle w:val="Heading2"/>
        <w:rPr/>
      </w:pPr>
      <w:bookmarkStart w:id="314" w:name="supported-datasets"/>
      <w:r>
        <w:rPr>
          <w:rStyle w:val="SectionNumber"/>
        </w:rPr>
        <w:t>19.4</w:t>
      </w:r>
      <w:r>
        <w:rPr/>
        <w:tab/>
        <w:t>Supported Datasets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Copernicus Sentinel-2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 Cover &amp; NDVI</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TerraClimate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Climate Indicators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JRC Global Surface Water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Historical Water Presence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Copernicus DEM (Fallback)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Elevation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MODIS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Vegetation Analysis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VIIRS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Fire Detection</w:t>
            </w:r>
          </w:p>
        </w:tc>
      </w:tr>
    </w:tbl>
    <w:p>
      <w:pPr>
        <w:pStyle w:val="BodyText"/>
        <w:rPr/>
      </w:pPr>
      <w:bookmarkStart w:id="315" w:name="supported-datasets"/>
      <w:r>
        <w:rPr/>
        <w:t>Additional datasets may be incorporated in future releases.</w:t>
      </w:r>
      <w:bookmarkEnd w:id="315"/>
    </w:p>
    <w:p>
      <w:pPr>
        <w:pStyle w:val="Heading2"/>
        <w:rPr/>
      </w:pPr>
      <w:bookmarkStart w:id="316" w:name="dataset-usage"/>
      <w:r>
        <w:rPr>
          <w:rStyle w:val="SectionNumber"/>
        </w:rPr>
        <w:t>19.5</w:t>
      </w:r>
      <w:r>
        <w:rPr/>
        <w:tab/>
        <w:t>Dataset Usage</w:t>
      </w:r>
    </w:p>
    <w:p>
      <w:pPr>
        <w:pStyle w:val="FirstParagraph"/>
        <w:rPr/>
      </w:pPr>
      <w:r>
        <w:rPr>
          <w:b/>
          <w:bCs/>
        </w:rPr>
        <w:t>Sentinel-2</w:t>
      </w:r>
      <w:r>
        <w:rPr/>
        <w:t xml:space="preserve"> — NDVI, vegetation analysis, land cover, crop monitoring. </w:t>
      </w:r>
      <w:r>
        <w:rPr>
          <w:b/>
          <w:bCs/>
        </w:rPr>
        <w:t>TerraClimate</w:t>
      </w:r>
      <w:r>
        <w:rPr/>
        <w:t xml:space="preserve"> — rainfall, temperature, evapotranspiration, climate water balance, aridity index. </w:t>
      </w:r>
      <w:r>
        <w:rPr>
          <w:b/>
          <w:bCs/>
        </w:rPr>
        <w:t>JRC Global Surface Water</w:t>
      </w:r>
      <w:r>
        <w:rPr/>
        <w:t xml:space="preserve"> — historical flood analysis, surface water persistence, river dynamics, water occurrence. </w:t>
      </w:r>
      <w:r>
        <w:rPr>
          <w:b/>
          <w:bCs/>
        </w:rPr>
        <w:t>MODIS / VIIRS</w:t>
      </w:r>
      <w:r>
        <w:rPr/>
        <w:t xml:space="preserve"> — active fire detection, burned area monitoring, wildfire risk assessment.</w:t>
      </w:r>
      <w:bookmarkEnd w:id="316"/>
    </w:p>
    <w:p>
      <w:pPr>
        <w:pStyle w:val="Heading2"/>
        <w:rPr/>
      </w:pPr>
      <w:bookmarkStart w:id="317" w:name="query-workflow"/>
      <w:r>
        <w:rPr>
          <w:rStyle w:val="SectionNumber"/>
        </w:rPr>
        <w:t>19.6</w:t>
      </w:r>
      <w:r>
        <w:rPr/>
        <w:tab/>
        <w:t>Query Workflow</w:t>
      </w:r>
    </w:p>
    <w:p>
      <w:pPr>
        <w:pStyle w:val="FirstParagraph"/>
        <w:rPr/>
      </w:pPr>
      <w:bookmarkStart w:id="318" w:name="query-workflow"/>
      <w:r>
        <w:rPr/>
        <w:t>Coordinates → dataset selection → spatial filter → temporal filter → Earth Engine processing → value extraction → standardized response.</w:t>
      </w:r>
      <w:bookmarkEnd w:id="318"/>
    </w:p>
    <w:p>
      <w:pPr>
        <w:pStyle w:val="Heading2"/>
        <w:rPr/>
      </w:pPr>
      <w:bookmarkStart w:id="319" w:name="spatial-processing"/>
      <w:r>
        <w:rPr>
          <w:rStyle w:val="SectionNumber"/>
        </w:rPr>
        <w:t>19.7</w:t>
      </w:r>
      <w:r>
        <w:rPr/>
        <w:tab/>
        <w:t>Spatial Processing</w:t>
      </w:r>
    </w:p>
    <w:p>
      <w:pPr>
        <w:pStyle w:val="FirstParagraph"/>
        <w:rPr/>
      </w:pPr>
      <w:bookmarkStart w:id="320" w:name="spatial-processing"/>
      <w:r>
        <w:rPr/>
        <w:t>The Earth Engine Connector shall support point queries, buffer analysis, polygon clipping, raster sampling, and multi-layer analysis. All spatial operations shall use the WGS84 (EPSG:4326) coordinate reference system unless dataset-specific transformations are required.</w:t>
      </w:r>
      <w:bookmarkEnd w:id="320"/>
    </w:p>
    <w:p>
      <w:pPr>
        <w:pStyle w:val="Heading2"/>
        <w:rPr/>
      </w:pPr>
      <w:bookmarkStart w:id="321" w:name="temporal-processing"/>
      <w:r>
        <w:rPr>
          <w:rStyle w:val="SectionNumber"/>
        </w:rPr>
        <w:t>19.8</w:t>
      </w:r>
      <w:r>
        <w:rPr/>
        <w:tab/>
        <w:t>Temporal Processing</w:t>
      </w:r>
    </w:p>
    <w:p>
      <w:pPr>
        <w:pStyle w:val="FirstParagraph"/>
        <w:rPr/>
      </w:pPr>
      <w:bookmarkStart w:id="322" w:name="temporal-processing"/>
      <w:r>
        <w:rPr/>
        <w:t>The connector shall support temporal filtering for datasets with historical observations, including latest available data, date-range filtering, monthly aggregation, annual aggregation, and historical comparisons. Temporal parameters shall be configurable through the connector.</w:t>
      </w:r>
      <w:bookmarkEnd w:id="322"/>
    </w:p>
    <w:p>
      <w:pPr>
        <w:pStyle w:val="Heading2"/>
        <w:rPr/>
      </w:pPr>
      <w:bookmarkStart w:id="323" w:name="performance-optimization-1"/>
      <w:r>
        <w:rPr>
          <w:rStyle w:val="SectionNumber"/>
        </w:rPr>
        <w:t>19.9</w:t>
      </w:r>
      <w:r>
        <w:rPr/>
        <w:tab/>
        <w:t>Performance Optimization</w:t>
      </w:r>
    </w:p>
    <w:p>
      <w:pPr>
        <w:pStyle w:val="FirstParagraph"/>
        <w:rPr/>
      </w:pPr>
      <w:bookmarkStart w:id="324" w:name="performance-optimization-1"/>
      <w:r>
        <w:rPr/>
        <w:t>To minimize response times, frequently used queries shall be cached, static metadata shall be preloaded, Earth Engine requests shall execute asynchronously, and batch operations shall be used where possible. Repeated requests for the same coordinates shall leverage cached results when permitted by dataset TTL.</w:t>
      </w:r>
      <w:bookmarkEnd w:id="324"/>
    </w:p>
    <w:p>
      <w:pPr>
        <w:pStyle w:val="Heading2"/>
        <w:rPr/>
      </w:pPr>
      <w:bookmarkStart w:id="325" w:name="error-handling-3"/>
      <w:r>
        <w:rPr>
          <w:rStyle w:val="SectionNumber"/>
        </w:rPr>
        <w:t>19.10</w:t>
      </w:r>
      <w:r>
        <w:rPr/>
        <w:tab/>
        <w:t>Error Handling</w:t>
      </w:r>
    </w:p>
    <w:p>
      <w:pPr>
        <w:pStyle w:val="FirstParagraph"/>
        <w:rPr/>
      </w:pPr>
      <w:r>
        <w:rPr/>
        <w:t xml:space="preserve">The connector shall handle authentication failures, API rate limits, dataset unavailability, network timeouts, invalid geometries, and processing errors. Errors shall be reported as structured </w:t>
      </w:r>
      <w:r>
        <w:rPr>
          <w:rStyle w:val="VerbatimChar"/>
        </w:rPr>
        <w:t>partial_failures</w:t>
      </w:r>
      <w:r>
        <w:rPr/>
        <w:t xml:space="preserve"> without interrupting successful connector executions.</w:t>
      </w:r>
      <w:bookmarkEnd w:id="325"/>
    </w:p>
    <w:p>
      <w:pPr>
        <w:pStyle w:val="Heading2"/>
        <w:rPr/>
      </w:pPr>
      <w:bookmarkStart w:id="326" w:name="integration-with-the-metadata-catalog-1"/>
      <w:r>
        <w:rPr>
          <w:rStyle w:val="SectionNumber"/>
        </w:rPr>
        <w:t>19.11</w:t>
      </w:r>
      <w:r>
        <w:rPr/>
        <w:tab/>
        <w:t>Integration with the Metadata Catalog</w:t>
      </w:r>
    </w:p>
    <w:p>
      <w:pPr>
        <w:pStyle w:val="FirstParagraph"/>
        <w:rPr/>
      </w:pPr>
      <w:bookmarkStart w:id="327" w:name="integration-with-the-metadata-catalog-1"/>
      <w:r>
        <w:rPr/>
        <w:t>Each Earth Engine dataset shall be registered in the metadata catalog with dataset name, provider, supported fields, spatial resolution, temporal resolution, update frequency, TTL, and source URL, ensuring the Planner and Fetch Engine remain metadata-driven.</w:t>
      </w:r>
      <w:bookmarkEnd w:id="327"/>
    </w:p>
    <w:p>
      <w:pPr>
        <w:pStyle w:val="Heading2"/>
        <w:rPr/>
      </w:pPr>
      <w:bookmarkStart w:id="328" w:name="integration-with-the-provenance-system"/>
      <w:r>
        <w:rPr>
          <w:rStyle w:val="SectionNumber"/>
        </w:rPr>
        <w:t>19.12</w:t>
      </w:r>
      <w:r>
        <w:rPr/>
        <w:tab/>
        <w:t>Integration with the Provenance System</w:t>
      </w:r>
    </w:p>
    <w:p>
      <w:pPr>
        <w:pStyle w:val="FirstParagraph"/>
        <w:rPr/>
      </w:pPr>
      <w:bookmarkStart w:id="329" w:name="integration-with-the-provenance-system"/>
      <w:r>
        <w:rPr/>
        <w:t>Every Earth Engine response shall include provenance information — dataset name, dataset version, retrieval timestamp, processing date, source URL, and spatial resolution. The Citation Engine shall use this metadata to generate user-visible citations.</w:t>
      </w:r>
      <w:bookmarkEnd w:id="329"/>
    </w:p>
    <w:p>
      <w:pPr>
        <w:pStyle w:val="Heading2"/>
        <w:rPr/>
      </w:pPr>
      <w:bookmarkStart w:id="330" w:name="future-enhancements-2"/>
      <w:r>
        <w:rPr>
          <w:rStyle w:val="SectionNumber"/>
        </w:rPr>
        <w:t>19.13</w:t>
      </w:r>
      <w:r>
        <w:rPr/>
        <w:tab/>
        <w:t>Future Enhancements</w:t>
      </w:r>
    </w:p>
    <w:p>
      <w:pPr>
        <w:pStyle w:val="FirstParagraph"/>
        <w:rPr/>
      </w:pPr>
      <w:bookmarkStart w:id="331" w:name="google-earth-engine-integration"/>
      <w:bookmarkStart w:id="332" w:name="future-enhancements-2"/>
      <w:r>
        <w:rPr/>
        <w:t>Future versions may support user-defined Earth Engine scripts, batch coordinate processing, large-area polygon analysis, time-series visualization, machine learning inference within Earth Engine, and additional Indian and global datasets.</w:t>
      </w:r>
      <w:bookmarkEnd w:id="331"/>
      <w:bookmarkEnd w:id="332"/>
    </w:p>
    <w:p>
      <w:pPr>
        <w:pStyle w:val="Heading1"/>
        <w:rPr/>
      </w:pPr>
      <w:bookmarkStart w:id="333" w:name="postgis-spatial-data-architecture"/>
      <w:r>
        <w:rPr>
          <w:rStyle w:val="SectionNumber"/>
        </w:rPr>
        <w:t>20</w:t>
      </w:r>
      <w:r>
        <w:rPr/>
        <w:tab/>
        <w:t>PostGIS &amp; Spatial Data Architecture</w:t>
      </w:r>
    </w:p>
    <w:p>
      <w:pPr>
        <w:pStyle w:val="FirstParagraph"/>
        <w:rPr/>
      </w:pPr>
      <w:r>
        <w:rPr/>
        <w:t>PostGIS is the primary spatial database used by Prism Earth for storing, indexing, and querying geospatial data that requires low-latency access. It complements Google Earth Engine by managing static datasets, administrative boundaries, processed spatial layers, and application metadata. The PostGIS architecture enables fast spatial operations while maintaining scalability, consistency, and support for future nationwide expansion.</w:t>
      </w:r>
    </w:p>
    <w:p>
      <w:pPr>
        <w:pStyle w:val="BodyText"/>
        <w:rPr/>
      </w:pPr>
      <w:r>
        <w:rPr/>
        <w:t>The PostGIS architecture shall store processed geospatial datasets, support high-performance spatial queries, manage vector and raster metadata, store administrative boundaries, support the pilot region and future state expansion, enable efficient spatial indexing, and integrate seamlessly with the Fetch Engine.</w:t>
      </w:r>
    </w:p>
    <w:p>
      <w:pPr>
        <w:pStyle w:val="Heading2"/>
        <w:rPr/>
      </w:pPr>
      <w:bookmarkStart w:id="334" w:name="architecture-1"/>
      <w:r>
        <w:rPr>
          <w:rStyle w:val="SectionNumber"/>
        </w:rPr>
        <w:t>20.1</w:t>
      </w:r>
      <w:r>
        <w:rPr/>
        <w:tab/>
        <w:t>Architecture</w:t>
      </w:r>
    </w:p>
    <w:p>
      <w:pPr>
        <w:pStyle w:val="FirstParagraph"/>
        <w:rPr/>
      </w:pPr>
      <w:bookmarkStart w:id="335" w:name="architecture-1"/>
      <w:r>
        <w:rPr/>
        <w:t>External datasets are processed through a data ingestion pipeline (ingestion → validation → storage) into the PostGIS database, which serves administrative boundaries, terrain layers, flood layers, and the metadata catalog to the Fetch Engine and, in turn, the REST APIs.</w:t>
      </w:r>
      <w:bookmarkEnd w:id="335"/>
    </w:p>
    <w:p>
      <w:pPr>
        <w:pStyle w:val="Heading2"/>
        <w:rPr/>
      </w:pPr>
      <w:bookmarkStart w:id="336" w:name="responsibilities-4"/>
      <w:r>
        <w:rPr>
          <w:rStyle w:val="SectionNumber"/>
        </w:rPr>
        <w:t>20.2</w:t>
      </w:r>
      <w:r>
        <w:rPr/>
        <w:tab/>
        <w:t>Responsibilities</w:t>
      </w:r>
    </w:p>
    <w:p>
      <w:pPr>
        <w:pStyle w:val="FirstParagraph"/>
        <w:rPr/>
      </w:pPr>
      <w:bookmarkStart w:id="337" w:name="responsibilities-4"/>
      <w:r>
        <w:rPr/>
        <w:t>The PostGIS database shall store processed vector datasets, maintain spatial indexes, store administrative boundaries, manage pilot-region datasets, support spatial joins, store dataset metadata, cache frequently accessed spatial information, and support future state datasets.</w:t>
      </w:r>
      <w:bookmarkEnd w:id="337"/>
    </w:p>
    <w:p>
      <w:pPr>
        <w:pStyle w:val="Heading2"/>
        <w:rPr/>
      </w:pPr>
      <w:bookmarkStart w:id="338" w:name="database-structure"/>
      <w:r>
        <w:rPr>
          <w:rStyle w:val="SectionNumber"/>
        </w:rPr>
        <w:t>20.3</w:t>
      </w:r>
      <w:r>
        <w:rPr/>
        <w:tab/>
        <w:t>Database Structure</w:t>
      </w:r>
    </w:p>
    <w:p>
      <w:pPr>
        <w:pStyle w:val="FirstParagraph"/>
        <w:rPr/>
      </w:pPr>
      <w:r>
        <w:rPr/>
        <w:t>The database shall be organized into logical schemas: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Schema</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Administrative boundaries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Terrain and elevation layers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climate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Climate metadata</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land_cover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 use and vegetation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hazards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Flood and wildfire layers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Roads, utilities, power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cadastral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Parcel information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metadata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registry and catalog</w:t>
            </w:r>
          </w:p>
        </w:tc>
      </w:tr>
    </w:tbl>
    <w:p>
      <w:pPr>
        <w:pStyle w:val="BodyText"/>
        <w:rPr/>
      </w:pPr>
      <w:bookmarkStart w:id="339" w:name="database-structure"/>
      <w:r>
        <w:rPr/>
        <w:t>This separation improves maintainability and simplifies future expansion.</w:t>
      </w:r>
      <w:bookmarkEnd w:id="339"/>
    </w:p>
    <w:p>
      <w:pPr>
        <w:pStyle w:val="Heading2"/>
        <w:rPr/>
      </w:pPr>
      <w:bookmarkStart w:id="340" w:name="spatial-layers"/>
      <w:r>
        <w:rPr>
          <w:rStyle w:val="SectionNumber"/>
        </w:rPr>
        <w:t>20.4</w:t>
      </w:r>
      <w:r>
        <w:rPr/>
        <w:tab/>
        <w:t>Spatial Layers</w:t>
      </w:r>
    </w:p>
    <w:p>
      <w:pPr>
        <w:pStyle w:val="FirstParagraph"/>
        <w:rPr/>
      </w:pPr>
      <w:r>
        <w:rPr/>
        <w:t>Version 1 shall support the following spatial layers:</w:t>
      </w:r>
    </w:p>
    <w:p>
      <w:pPr>
        <w:pStyle w:val="Compact"/>
        <w:numPr>
          <w:ilvl w:val="0"/>
          <w:numId w:val="189"/>
        </w:numPr>
        <w:rPr/>
      </w:pPr>
      <w:r>
        <w:rPr>
          <w:b/>
          <w:bCs/>
        </w:rPr>
        <w:t>Administrative</w:t>
      </w:r>
      <w:r>
        <w:rPr/>
        <w:t xml:space="preserve"> — State, District, Mandal/Taluk, Village, Municipality, Ward</w:t>
      </w:r>
    </w:p>
    <w:p>
      <w:pPr>
        <w:pStyle w:val="Compact"/>
        <w:numPr>
          <w:ilvl w:val="0"/>
          <w:numId w:val="190"/>
        </w:numPr>
        <w:rPr/>
      </w:pPr>
      <w:r>
        <w:rPr>
          <w:b/>
          <w:bCs/>
        </w:rPr>
        <w:t>Terrain</w:t>
      </w:r>
      <w:r>
        <w:rPr/>
        <w:t xml:space="preserve"> — DEM Tiles, Slope, Aspect, Terrain Roughness</w:t>
      </w:r>
    </w:p>
    <w:p>
      <w:pPr>
        <w:pStyle w:val="Compact"/>
        <w:numPr>
          <w:ilvl w:val="0"/>
          <w:numId w:val="191"/>
        </w:numPr>
        <w:rPr/>
      </w:pPr>
      <w:r>
        <w:rPr>
          <w:b/>
          <w:bCs/>
        </w:rPr>
        <w:t>Land Cover</w:t>
      </w:r>
      <w:r>
        <w:rPr/>
        <w:t xml:space="preserve"> — Land Use Classification, Vegetation, NDVI Cache</w:t>
      </w:r>
    </w:p>
    <w:p>
      <w:pPr>
        <w:pStyle w:val="Compact"/>
        <w:numPr>
          <w:ilvl w:val="0"/>
          <w:numId w:val="192"/>
        </w:numPr>
        <w:rPr/>
      </w:pPr>
      <w:r>
        <w:rPr>
          <w:b/>
          <w:bCs/>
        </w:rPr>
        <w:t>Natural Hazards</w:t>
      </w:r>
      <w:r>
        <w:rPr/>
        <w:t xml:space="preserve"> — Flood Hazard Zones, Water Bodies, Historical Flood Layers</w:t>
      </w:r>
    </w:p>
    <w:p>
      <w:pPr>
        <w:pStyle w:val="Compact"/>
        <w:numPr>
          <w:ilvl w:val="0"/>
          <w:numId w:val="193"/>
        </w:numPr>
        <w:rPr/>
      </w:pPr>
      <w:r>
        <w:rPr>
          <w:b/>
          <w:bCs/>
        </w:rPr>
        <w:t>Infrastructure</w:t>
      </w:r>
      <w:r>
        <w:rPr/>
        <w:t xml:space="preserve"> — Roads, Railways, Transmission Lines, Substations</w:t>
      </w:r>
    </w:p>
    <w:p>
      <w:pPr>
        <w:pStyle w:val="Compact"/>
        <w:numPr>
          <w:ilvl w:val="0"/>
          <w:numId w:val="194"/>
        </w:numPr>
        <w:rPr/>
      </w:pPr>
      <w:r>
        <w:rPr>
          <w:b/>
          <w:bCs/>
        </w:rPr>
        <w:t>Cadastral</w:t>
      </w:r>
      <w:r>
        <w:rPr/>
        <w:t xml:space="preserve"> — Survey Parcels, Parcel Boundaries, Zoning (available within the active pilot region)</w:t>
      </w:r>
      <w:bookmarkEnd w:id="340"/>
    </w:p>
    <w:p>
      <w:pPr>
        <w:pStyle w:val="Heading2"/>
        <w:rPr/>
      </w:pPr>
      <w:bookmarkStart w:id="341" w:name="spatial-indexing"/>
      <w:r>
        <w:rPr>
          <w:rStyle w:val="SectionNumber"/>
        </w:rPr>
        <w:t>20.5</w:t>
      </w:r>
      <w:r>
        <w:rPr/>
        <w:tab/>
        <w:t>Spatial Indexing</w:t>
      </w:r>
    </w:p>
    <w:p>
      <w:pPr>
        <w:pStyle w:val="FirstParagraph"/>
        <w:rPr/>
      </w:pPr>
      <w:bookmarkStart w:id="342" w:name="spatial-indexing"/>
      <w:r>
        <w:rPr/>
        <w:t>All spatial tables shall use GiST indexes to optimize spatial queries, supporting point-in-polygon searches, nearest-neighbor searches, buffer analysis, intersection queries, and bounding-box filtering. Proper indexing is mandatory for production performance.</w:t>
      </w:r>
      <w:bookmarkEnd w:id="342"/>
    </w:p>
    <w:p>
      <w:pPr>
        <w:pStyle w:val="Heading2"/>
        <w:rPr/>
      </w:pPr>
      <w:bookmarkStart w:id="343" w:name="coordinate-reference-system"/>
      <w:r>
        <w:rPr>
          <w:rStyle w:val="SectionNumber"/>
        </w:rPr>
        <w:t>20.6</w:t>
      </w:r>
      <w:r>
        <w:rPr/>
        <w:tab/>
        <w:t>Coordinate Reference System</w:t>
      </w:r>
    </w:p>
    <w:p>
      <w:pPr>
        <w:pStyle w:val="FirstParagraph"/>
        <w:rPr/>
      </w:pPr>
      <w:bookmarkStart w:id="344" w:name="coordinate-reference-system"/>
      <w:r>
        <w:rPr/>
        <w:t>The platform shall standardize on EPSG:4326 (WGS84) for API requests and storage. Where datasets use different coordinate systems, transformations shall occur during data ingestion or query execution.</w:t>
      </w:r>
      <w:bookmarkEnd w:id="344"/>
    </w:p>
    <w:p>
      <w:pPr>
        <w:pStyle w:val="Heading2"/>
        <w:rPr/>
      </w:pPr>
      <w:bookmarkStart w:id="345" w:name="data-ingestion"/>
      <w:r>
        <w:rPr>
          <w:rStyle w:val="SectionNumber"/>
        </w:rPr>
        <w:t>20.7</w:t>
      </w:r>
      <w:r>
        <w:rPr/>
        <w:tab/>
        <w:t>Data Ingestion</w:t>
      </w:r>
    </w:p>
    <w:p>
      <w:pPr>
        <w:pStyle w:val="FirstParagraph"/>
        <w:rPr/>
      </w:pPr>
      <w:bookmarkStart w:id="346" w:name="data-ingestion"/>
      <w:r>
        <w:rPr/>
        <w:t>Spatial datasets shall undergo the following ingestion pipeline: download dataset → validation → coordinate transformation → geometry cleaning → metadata extraction → PostGIS storage. Only validated datasets shall be imported into production.</w:t>
      </w:r>
      <w:bookmarkEnd w:id="346"/>
    </w:p>
    <w:p>
      <w:pPr>
        <w:pStyle w:val="Heading2"/>
        <w:rPr/>
      </w:pPr>
      <w:bookmarkStart w:id="347" w:name="metadata-management"/>
      <w:r>
        <w:rPr>
          <w:rStyle w:val="SectionNumber"/>
        </w:rPr>
        <w:t>20.8</w:t>
      </w:r>
      <w:r>
        <w:rPr/>
        <w:tab/>
        <w:t>Metadata Management</w:t>
      </w:r>
    </w:p>
    <w:p>
      <w:pPr>
        <w:pStyle w:val="FirstParagraph"/>
        <w:rPr/>
      </w:pPr>
      <w:bookmarkStart w:id="348" w:name="metadata-management"/>
      <w:r>
        <w:rPr/>
        <w:t>Every dataset stored in PostGIS shall include metadata such as dataset name, provider, version, source URL, update frequency, import date, coverage area, spatial resolution, and license. This metadata shall integrate with the metadata catalog and Provenance System.</w:t>
      </w:r>
      <w:bookmarkEnd w:id="348"/>
    </w:p>
    <w:p>
      <w:pPr>
        <w:pStyle w:val="Heading2"/>
        <w:rPr/>
      </w:pPr>
      <w:bookmarkStart w:id="349" w:name="query-optimization"/>
      <w:r>
        <w:rPr>
          <w:rStyle w:val="SectionNumber"/>
        </w:rPr>
        <w:t>20.9</w:t>
      </w:r>
      <w:r>
        <w:rPr/>
        <w:tab/>
        <w:t>Query Optimization</w:t>
      </w:r>
    </w:p>
    <w:p>
      <w:pPr>
        <w:pStyle w:val="FirstParagraph"/>
        <w:rPr/>
      </w:pPr>
      <w:bookmarkStart w:id="350" w:name="query-optimization"/>
      <w:r>
        <w:rPr/>
        <w:t>To ensure production performance, the database shall implement spatial indexing, query optimization, materialized views (where beneficial), partitioning for large datasets, connection pooling, and read-only views for API access.</w:t>
      </w:r>
      <w:bookmarkEnd w:id="350"/>
    </w:p>
    <w:p>
      <w:pPr>
        <w:pStyle w:val="Heading2"/>
        <w:rPr/>
      </w:pPr>
      <w:bookmarkStart w:id="351" w:name="backup-and-recovery"/>
      <w:r>
        <w:rPr>
          <w:rStyle w:val="SectionNumber"/>
        </w:rPr>
        <w:t>20.10</w:t>
      </w:r>
      <w:r>
        <w:rPr/>
        <w:tab/>
        <w:t>Backup and Recovery</w:t>
      </w:r>
    </w:p>
    <w:p>
      <w:pPr>
        <w:pStyle w:val="FirstParagraph"/>
        <w:rPr/>
      </w:pPr>
      <w:bookmarkStart w:id="352" w:name="backup-and-recovery"/>
      <w:r>
        <w:rPr/>
        <w:t>The platform shall support scheduled database backups, point-in-time recovery, disaster recovery procedures, and versioned spatial datasets. Backup policies shall be configurable based on deployment requirements.</w:t>
      </w:r>
      <w:bookmarkEnd w:id="352"/>
    </w:p>
    <w:p>
      <w:pPr>
        <w:pStyle w:val="Heading2"/>
        <w:rPr/>
      </w:pPr>
      <w:bookmarkStart w:id="353" w:name="security-2"/>
      <w:r>
        <w:rPr>
          <w:rStyle w:val="SectionNumber"/>
        </w:rPr>
        <w:t>20.11</w:t>
      </w:r>
      <w:r>
        <w:rPr/>
        <w:tab/>
        <w:t>Security</w:t>
      </w:r>
    </w:p>
    <w:p>
      <w:pPr>
        <w:pStyle w:val="FirstParagraph"/>
        <w:rPr/>
      </w:pPr>
      <w:bookmarkStart w:id="354" w:name="security-2"/>
      <w:r>
        <w:rPr/>
        <w:t>The database shall implement role-based access control, encrypted connections, read-only service accounts for APIs, secure credential management, and audit logging for administrative operations. Direct public access to the database shall not be permitted.</w:t>
      </w:r>
      <w:bookmarkEnd w:id="354"/>
    </w:p>
    <w:p>
      <w:pPr>
        <w:pStyle w:val="Heading2"/>
        <w:rPr/>
      </w:pPr>
      <w:bookmarkStart w:id="355" w:name="future-expansion-1"/>
      <w:r>
        <w:rPr>
          <w:rStyle w:val="SectionNumber"/>
        </w:rPr>
        <w:t>20.12</w:t>
      </w:r>
      <w:r>
        <w:rPr/>
        <w:tab/>
        <w:t>Future Expansion</w:t>
      </w:r>
    </w:p>
    <w:p>
      <w:pPr>
        <w:pStyle w:val="FirstParagraph"/>
        <w:rPr/>
      </w:pPr>
      <w:bookmarkStart w:id="356" w:name="postgis-spatial-data-architecture"/>
      <w:bookmarkStart w:id="357" w:name="future-expansion-1"/>
      <w:r>
        <w:rPr/>
        <w:t>The architecture shall support all Indian States and Union Territories, additional spatial layers, raster storage where appropriate, distributed databases, cloud-managed PostgreSQL services, and replication with horizontal scaling. Adding new states shall require only new datasets and configuration updates, without changes to the database architecture.</w:t>
      </w:r>
      <w:bookmarkEnd w:id="356"/>
      <w:bookmarkEnd w:id="357"/>
    </w:p>
    <w:p>
      <w:pPr>
        <w:pStyle w:val="Heading1"/>
        <w:rPr/>
      </w:pPr>
      <w:bookmarkStart w:id="358" w:name="state-registry-multi-state-architecture"/>
      <w:r>
        <w:rPr>
          <w:rStyle w:val="SectionNumber"/>
        </w:rPr>
        <w:t>21</w:t>
      </w:r>
      <w:r>
        <w:rPr/>
        <w:tab/>
        <w:t>State Registry &amp; Multi-State Architecture</w:t>
      </w:r>
    </w:p>
    <w:p>
      <w:pPr>
        <w:pStyle w:val="FirstParagraph"/>
        <w:rPr/>
      </w:pPr>
      <w:r>
        <w:rPr/>
        <w:t>The State Registry manages all state-specific configurations, datasets, connectors, and administrative boundaries within the Prism Earth platform. It enables gradual expansion from the initial pilot region to nationwide coverage without requiring architectural modifications.</w:t>
      </w:r>
    </w:p>
    <w:p>
      <w:pPr>
        <w:pStyle w:val="BodyText"/>
        <w:rPr/>
      </w:pPr>
      <w:r>
        <w:rPr/>
        <w:t>The State Registry shall support incremental onboarding of Indian states and union territories, register state-specific datasets and connectors, manage administrative boundaries, configure available fields and presets per state, and maintain backward compatibility.</w:t>
      </w:r>
    </w:p>
    <w:p>
      <w:pPr>
        <w:pStyle w:val="Heading2"/>
        <w:rPr/>
      </w:pPr>
      <w:bookmarkStart w:id="359" w:name="state-registry-structure"/>
      <w:r>
        <w:rPr>
          <w:rStyle w:val="SectionNumber"/>
        </w:rPr>
        <w:t>21.1</w:t>
      </w:r>
      <w:r>
        <w:rPr/>
        <w:tab/>
        <w:t>State Registry Structure</w:t>
      </w:r>
    </w:p>
    <w:p>
      <w:pPr>
        <w:pStyle w:val="FirstParagraph"/>
        <w:rPr/>
      </w:pPr>
      <w:bookmarkStart w:id="360" w:name="state-registry-structure"/>
      <w:r>
        <w:rPr/>
        <w:t>Each state configuration shall contain a state identifier, administrative boundary, supported datasets, enabled connectors, available fields, available presets, dataset versions, and an update schedule.</w:t>
      </w:r>
      <w:bookmarkEnd w:id="360"/>
    </w:p>
    <w:p>
      <w:pPr>
        <w:pStyle w:val="Heading2"/>
        <w:rPr/>
      </w:pPr>
      <w:bookmarkStart w:id="361" w:name="initial-registered-region"/>
      <w:r>
        <w:rPr>
          <w:rStyle w:val="SectionNumber"/>
        </w:rPr>
        <w:t>21.2</w:t>
      </w:r>
      <w:r>
        <w:rPr/>
        <w:tab/>
        <w:t>Initial Registered Region</w:t>
      </w:r>
    </w:p>
    <w:p>
      <w:pPr>
        <w:pStyle w:val="FirstParagraph"/>
        <w:rPr/>
      </w:pPr>
      <w:r>
        <w:rPr/>
        <w:t xml:space="preserve">The first registered region and its specific datasets, boundaries, and fields are defined in the </w:t>
      </w:r>
      <w:r>
        <w:rPr>
          <w:i/>
          <w:iCs/>
        </w:rPr>
        <w:t>Telangana MVP</w:t>
      </w:r>
      <w:r>
        <w:rPr/>
        <w:t xml:space="preserve"> chapter, which is the single authoritative source for the pilot region’s geographic scope.</w:t>
      </w:r>
      <w:bookmarkEnd w:id="361"/>
    </w:p>
    <w:p>
      <w:pPr>
        <w:pStyle w:val="Heading2"/>
        <w:rPr/>
      </w:pPr>
      <w:bookmarkStart w:id="362" w:name="future-expansion-2"/>
      <w:r>
        <w:rPr>
          <w:rStyle w:val="SectionNumber"/>
        </w:rPr>
        <w:t>21.3</w:t>
      </w:r>
      <w:r>
        <w:rPr/>
        <w:tab/>
        <w:t>Future Expansion</w:t>
      </w:r>
    </w:p>
    <w:p>
      <w:pPr>
        <w:pStyle w:val="FirstParagraph"/>
        <w:rPr/>
      </w:pPr>
      <w:bookmarkStart w:id="363" w:name="state-registry-multi-state-architecture"/>
      <w:bookmarkStart w:id="364" w:name="future-expansion-2"/>
      <w:r>
        <w:rPr/>
        <w:t>Adding a new state shall require only registering state boundaries, configuring datasets, registering connectors, and updating the metadata catalog. No application code shall require modification.</w:t>
      </w:r>
      <w:bookmarkEnd w:id="363"/>
      <w:bookmarkEnd w:id="364"/>
    </w:p>
    <w:p>
      <w:pPr>
        <w:pStyle w:val="Heading1"/>
        <w:rPr/>
      </w:pPr>
      <w:bookmarkStart w:id="365" w:name="database-design"/>
      <w:r>
        <w:rPr>
          <w:rStyle w:val="SectionNumber"/>
        </w:rPr>
        <w:t>22</w:t>
      </w:r>
      <w:r>
        <w:rPr/>
        <w:tab/>
        <w:t>Database Design</w:t>
      </w:r>
    </w:p>
    <w:p>
      <w:pPr>
        <w:pStyle w:val="FirstParagraph"/>
        <w:rPr/>
      </w:pPr>
      <w:r>
        <w:rPr/>
        <w:t>The platform shall use PostgreSQL with PostGIS for storing metadata, spatial datasets, administrative boundaries, configuration data, and cached results.</w:t>
      </w:r>
    </w:p>
    <w:p>
      <w:pPr>
        <w:pStyle w:val="Heading2"/>
        <w:rPr/>
      </w:pPr>
      <w:bookmarkStart w:id="366" w:name="database-components"/>
      <w:r>
        <w:rPr>
          <w:rStyle w:val="SectionNumber"/>
        </w:rPr>
        <w:t>22.1</w:t>
      </w:r>
      <w:r>
        <w:rPr/>
        <w:tab/>
        <w:t>Database Components</w:t>
      </w:r>
    </w:p>
    <w:p>
      <w:pPr>
        <w:pStyle w:val="FirstParagraph"/>
        <w:rPr/>
      </w:pPr>
      <w:bookmarkStart w:id="367" w:name="database-components"/>
      <w:r>
        <w:rPr/>
        <w:t>The database shall include the metadata catalog, dataset registry, administrative boundaries, spatial layers, provenance records, configuration tables, and cache metadata.</w:t>
      </w:r>
      <w:bookmarkEnd w:id="367"/>
    </w:p>
    <w:p>
      <w:pPr>
        <w:pStyle w:val="Heading2"/>
        <w:rPr/>
      </w:pPr>
      <w:bookmarkStart w:id="368" w:name="design-principles"/>
      <w:r>
        <w:rPr>
          <w:rStyle w:val="SectionNumber"/>
        </w:rPr>
        <w:t>22.2</w:t>
      </w:r>
      <w:r>
        <w:rPr/>
        <w:tab/>
        <w:t>Design Principles</w:t>
      </w:r>
    </w:p>
    <w:p>
      <w:pPr>
        <w:pStyle w:val="FirstParagraph"/>
        <w:rPr/>
      </w:pPr>
      <w:bookmarkStart w:id="369" w:name="design-principles"/>
      <w:r>
        <w:rPr/>
        <w:t>The database shall be normalized, support spatial indexing, maintain referential integrity, support versioned datasets, and enable efficient querying.</w:t>
      </w:r>
      <w:bookmarkEnd w:id="369"/>
    </w:p>
    <w:p>
      <w:pPr>
        <w:pStyle w:val="Heading2"/>
        <w:rPr/>
      </w:pPr>
      <w:bookmarkStart w:id="370" w:name="primary-entities"/>
      <w:r>
        <w:rPr>
          <w:rStyle w:val="SectionNumber"/>
        </w:rPr>
        <w:t>22.3</w:t>
      </w:r>
      <w:r>
        <w:rPr/>
        <w:tab/>
        <w:t>Primary Entities</w:t>
      </w:r>
    </w:p>
    <w:p>
      <w:pPr>
        <w:pStyle w:val="FirstParagraph"/>
        <w:rPr/>
      </w:pPr>
      <w:bookmarkStart w:id="371" w:name="primary-entities"/>
      <w:r>
        <w:rPr/>
        <w:t>Core entities include Dataset, Field, Layer, Preset, State, Connector, Provenance, Citation, and Request Log.</w:t>
      </w:r>
      <w:bookmarkEnd w:id="371"/>
    </w:p>
    <w:p>
      <w:pPr>
        <w:pStyle w:val="Heading2"/>
        <w:rPr/>
      </w:pPr>
      <w:bookmarkStart w:id="372" w:name="future-scalability-1"/>
      <w:r>
        <w:rPr>
          <w:rStyle w:val="SectionNumber"/>
        </w:rPr>
        <w:t>22.4</w:t>
      </w:r>
      <w:r>
        <w:rPr/>
        <w:tab/>
        <w:t>Future Scalability</w:t>
      </w:r>
    </w:p>
    <w:p>
      <w:pPr>
        <w:pStyle w:val="FirstParagraph"/>
        <w:rPr/>
      </w:pPr>
      <w:bookmarkStart w:id="373" w:name="database-design"/>
      <w:bookmarkStart w:id="374" w:name="future-scalability-1"/>
      <w:r>
        <w:rPr/>
        <w:t>The schema shall support nationwide deployment, multiple dataset versions, distributed databases, and cloud-managed PostgreSQL services.</w:t>
      </w:r>
      <w:bookmarkEnd w:id="373"/>
      <w:bookmarkEnd w:id="374"/>
    </w:p>
    <w:p>
      <w:pPr>
        <w:pStyle w:val="Heading1"/>
        <w:rPr/>
      </w:pPr>
      <w:bookmarkStart w:id="375" w:name="caching-strategy-1"/>
      <w:r>
        <w:rPr>
          <w:rStyle w:val="SectionNumber"/>
        </w:rPr>
        <w:t>23</w:t>
      </w:r>
      <w:r>
        <w:rPr/>
        <w:tab/>
        <w:t>Caching Strategy</w:t>
      </w:r>
    </w:p>
    <w:p>
      <w:pPr>
        <w:pStyle w:val="FirstParagraph"/>
        <w:rPr/>
      </w:pPr>
      <w:r>
        <w:rPr/>
        <w:t>Caching improves response time, reduces API costs, and minimizes repeated processing of deterministic queries. The caching layer shall reduce latency, reduce external API calls, improve scalability, respect dataset update frequencies, and preserve deterministic behavior.</w:t>
      </w:r>
    </w:p>
    <w:p>
      <w:pPr>
        <w:pStyle w:val="Heading2"/>
        <w:rPr/>
      </w:pPr>
      <w:bookmarkStart w:id="376" w:name="cache-levels"/>
      <w:r>
        <w:rPr>
          <w:rStyle w:val="SectionNumber"/>
        </w:rPr>
        <w:t>23.1</w:t>
      </w:r>
      <w:r>
        <w:rPr/>
        <w:tab/>
        <w:t>Cache Levels</w:t>
      </w:r>
    </w:p>
    <w:p>
      <w:pPr>
        <w:pStyle w:val="FirstParagraph"/>
        <w:rPr/>
      </w:pPr>
      <w:r>
        <w:rPr>
          <w:b/>
          <w:bCs/>
        </w:rPr>
        <w:t>Metadata Cache</w:t>
      </w:r>
      <w:r>
        <w:rPr/>
        <w:t xml:space="preserve"> — metadata catalog, dataset registry, presets, layer definitions.</w:t>
      </w:r>
    </w:p>
    <w:p>
      <w:pPr>
        <w:pStyle w:val="BodyText"/>
        <w:rPr/>
      </w:pPr>
      <w:r>
        <w:rPr>
          <w:b/>
          <w:bCs/>
        </w:rPr>
        <w:t>Dataset Cache</w:t>
      </w:r>
      <w:r>
        <w:rPr/>
        <w:t xml:space="preserve"> — administrative boundaries, terrain tiles, frequently accessed layers.</w:t>
      </w:r>
    </w:p>
    <w:p>
      <w:pPr>
        <w:pStyle w:val="BodyText"/>
        <w:rPr/>
      </w:pPr>
      <w:r>
        <w:rPr>
          <w:b/>
          <w:bCs/>
        </w:rPr>
        <w:t>Response Cache</w:t>
      </w:r>
      <w:r>
        <w:rPr/>
        <w:t xml:space="preserve"> — fetch API responses and Planner results (where applicable).</w:t>
      </w:r>
      <w:bookmarkEnd w:id="376"/>
    </w:p>
    <w:p>
      <w:pPr>
        <w:pStyle w:val="Heading2"/>
        <w:rPr/>
      </w:pPr>
      <w:bookmarkStart w:id="377" w:name="cache-expiration"/>
      <w:r>
        <w:rPr>
          <w:rStyle w:val="SectionNumber"/>
        </w:rPr>
        <w:t>23.2</w:t>
      </w:r>
      <w:r>
        <w:rPr/>
        <w:tab/>
        <w:t>Cache Expiration</w:t>
      </w:r>
    </w:p>
    <w:p>
      <w:pPr>
        <w:pStyle w:val="FirstParagraph"/>
        <w:rPr/>
      </w:pPr>
      <w:bookmarkStart w:id="378" w:name="caching-strategy-1"/>
      <w:bookmarkStart w:id="379" w:name="cache-expiration"/>
      <w:r>
        <w:rPr/>
        <w:t>Cache expiration shall follow the TTL defined in the active metadata catalog. Each dataset may define independent expiration policies. The caching system shall provide high cache hit rates, automatic invalidation, configurable TTL, and distributed cache support using Redis.</w:t>
      </w:r>
      <w:bookmarkEnd w:id="378"/>
      <w:bookmarkEnd w:id="379"/>
    </w:p>
    <w:p>
      <w:pPr>
        <w:pStyle w:val="Heading1"/>
        <w:rPr/>
      </w:pPr>
      <w:bookmarkStart w:id="380" w:name="telangana-mvp"/>
      <w:r>
        <w:rPr>
          <w:rStyle w:val="SectionNumber"/>
        </w:rPr>
        <w:t>24</w:t>
      </w:r>
      <w:r>
        <w:rPr/>
        <w:tab/>
        <w:t>Telangana MVP</w:t>
      </w:r>
    </w:p>
    <w:p>
      <w:pPr>
        <w:pStyle w:val="FirstParagraph"/>
        <w:rPr/>
      </w:pPr>
      <w:r>
        <w:rPr/>
        <w:t xml:space="preserve">Version 1 of Prism Earth shall focus exclusively on Telangana as the pilot deployment. This phased approach enables validation of the platform architecture before nationwide expansion. </w:t>
      </w:r>
      <w:r>
        <w:rPr>
          <w:b/>
          <w:bCs/>
        </w:rPr>
        <w:t>This chapter is the single authoritative source for the platform’s geographic constraint in Version 1; all technical subsystem chapters refer to “the active pilot region” and defer to this chapter for its definition.</w:t>
      </w:r>
    </w:p>
    <w:p>
      <w:pPr>
        <w:pStyle w:val="Heading2"/>
        <w:rPr/>
      </w:pPr>
      <w:bookmarkStart w:id="381" w:name="geographic-scope"/>
      <w:r>
        <w:rPr>
          <w:rStyle w:val="SectionNumber"/>
        </w:rPr>
        <w:t>24.1</w:t>
      </w:r>
      <w:r>
        <w:rPr/>
        <w:tab/>
        <w:t>Geographic Scope</w:t>
      </w:r>
    </w:p>
    <w:p>
      <w:pPr>
        <w:pStyle w:val="FirstParagraph"/>
        <w:rPr/>
      </w:pPr>
      <w:r>
        <w:rPr/>
        <w:t xml:space="preserve">Supported coverage includes the entire Telangana State, its districts, mandals, municipalities, and villages. Coordinates outside Telangana fall back to nationally available datasets where coverage exists; region-specific fields (such as cadastral data) return null with the configured </w:t>
      </w:r>
      <w:r>
        <w:rPr>
          <w:rStyle w:val="VerbatimChar"/>
        </w:rPr>
        <w:t>null_meaning</w:t>
      </w:r>
      <w:r>
        <w:rPr/>
        <w:t>.</w:t>
      </w:r>
      <w:bookmarkEnd w:id="381"/>
    </w:p>
    <w:p>
      <w:pPr>
        <w:pStyle w:val="Heading2"/>
        <w:rPr/>
      </w:pPr>
      <w:bookmarkStart w:id="382" w:name="supported-datasets-1"/>
      <w:r>
        <w:rPr>
          <w:rStyle w:val="SectionNumber"/>
        </w:rPr>
        <w:t>24.2</w:t>
      </w:r>
      <w:r>
        <w:rPr/>
        <w:tab/>
        <w:t>Supported Datasets</w:t>
      </w:r>
    </w:p>
    <w:p>
      <w:pPr>
        <w:pStyle w:val="FirstParagraph"/>
        <w:rPr/>
      </w:pPr>
      <w:bookmarkStart w:id="383" w:name="supported-datasets-1"/>
      <w:r>
        <w:rPr/>
        <w:t>The MVP shall integrate ISRO CartoDEM, Sentinel-2, TerraClimate, CWC Flood Data, NRSC Water Bodies, NASA FIRMS, and Survey of India Administrative Boundaries.</w:t>
      </w:r>
      <w:bookmarkEnd w:id="383"/>
    </w:p>
    <w:p>
      <w:pPr>
        <w:pStyle w:val="Heading2"/>
        <w:rPr/>
      </w:pPr>
      <w:bookmarkStart w:id="384" w:name="region-specific-fields"/>
      <w:r>
        <w:rPr>
          <w:rStyle w:val="SectionNumber"/>
        </w:rPr>
        <w:t>24.3</w:t>
      </w:r>
      <w:r>
        <w:rPr/>
        <w:tab/>
        <w:t>Region-Specific Fields</w:t>
      </w:r>
    </w:p>
    <w:p>
      <w:pPr>
        <w:pStyle w:val="FirstParagraph"/>
        <w:rPr/>
      </w:pPr>
      <w:r>
        <w:rPr/>
        <w:t>Within Telangana, the platform additionally enables region-gated fields that are unavailable elsewhere in Version 1:</w:t>
      </w:r>
    </w:p>
    <w:p>
      <w:pPr>
        <w:pStyle w:val="Compact"/>
        <w:numPr>
          <w:ilvl w:val="0"/>
          <w:numId w:val="195"/>
        </w:numPr>
        <w:rPr/>
      </w:pPr>
      <w:r>
        <w:rPr>
          <w:b/>
          <w:bCs/>
        </w:rPr>
        <w:t>Administrative</w:t>
      </w:r>
      <w:r>
        <w:rPr/>
        <w:t xml:space="preserve"> — Urban Local Body, Ward, Municipality</w:t>
      </w:r>
    </w:p>
    <w:p>
      <w:pPr>
        <w:pStyle w:val="Compact"/>
        <w:numPr>
          <w:ilvl w:val="0"/>
          <w:numId w:val="196"/>
        </w:numPr>
        <w:rPr/>
      </w:pPr>
      <w:r>
        <w:rPr>
          <w:b/>
          <w:bCs/>
        </w:rPr>
        <w:t>Cadastral</w:t>
      </w:r>
      <w:r>
        <w:rPr/>
        <w:t xml:space="preserve"> — Parcel ID, Survey Number, Parcel Area, Parcel Geometry, Zoning</w:t>
      </w:r>
    </w:p>
    <w:p>
      <w:pPr>
        <w:pStyle w:val="Compact"/>
        <w:numPr>
          <w:ilvl w:val="0"/>
          <w:numId w:val="197"/>
        </w:numPr>
        <w:rPr/>
      </w:pPr>
      <w:r>
        <w:rPr>
          <w:b/>
          <w:bCs/>
        </w:rPr>
        <w:t>Utilities</w:t>
      </w:r>
      <w:r>
        <w:rPr/>
        <w:t xml:space="preserve"> — Electricity Distribution Company, Industrial Tariff</w:t>
      </w:r>
    </w:p>
    <w:p>
      <w:pPr>
        <w:pStyle w:val="FirstParagraph"/>
        <w:rPr/>
      </w:pPr>
      <w:r>
        <w:rPr/>
        <w:t xml:space="preserve">These fields are available only when coordinates lie within the Telangana boundary. Outside Telangana, the backend returns null values together with the configured </w:t>
      </w:r>
      <w:r>
        <w:rPr>
          <w:rStyle w:val="VerbatimChar"/>
        </w:rPr>
        <w:t>null_meaning</w:t>
      </w:r>
      <w:r>
        <w:rPr/>
        <w:t xml:space="preserve"> or indicates that the field is unavailable for the current state.</w:t>
      </w:r>
      <w:bookmarkEnd w:id="384"/>
    </w:p>
    <w:p>
      <w:pPr>
        <w:pStyle w:val="Heading2"/>
        <w:rPr/>
      </w:pPr>
      <w:bookmarkStart w:id="385" w:name="spatial-data-seed"/>
      <w:r>
        <w:rPr>
          <w:rStyle w:val="SectionNumber"/>
        </w:rPr>
        <w:t>24.4</w:t>
      </w:r>
      <w:r>
        <w:rPr/>
        <w:tab/>
        <w:t>Spatial Data Seed</w:t>
      </w:r>
    </w:p>
    <w:p>
      <w:pPr>
        <w:pStyle w:val="FirstParagraph"/>
        <w:rPr/>
      </w:pPr>
      <w:bookmarkStart w:id="386" w:name="spatial-data-seed"/>
      <w:r>
        <w:rPr/>
        <w:t>The PostGIS database shall initially contain the Telangana state boundary, district boundaries, mandals, villages, municipal boundaries, survey parcels (where available), flood layers, and infrastructure layers. Future states shall follow the same schema structure.</w:t>
      </w:r>
      <w:bookmarkEnd w:id="386"/>
    </w:p>
    <w:p>
      <w:pPr>
        <w:pStyle w:val="Heading2"/>
        <w:rPr/>
      </w:pPr>
      <w:bookmarkStart w:id="387" w:name="supported-features"/>
      <w:r>
        <w:rPr>
          <w:rStyle w:val="SectionNumber"/>
        </w:rPr>
        <w:t>24.5</w:t>
      </w:r>
      <w:r>
        <w:rPr/>
        <w:tab/>
        <w:t>Supported Features</w:t>
      </w:r>
    </w:p>
    <w:p>
      <w:pPr>
        <w:pStyle w:val="FirstParagraph"/>
        <w:rPr/>
      </w:pPr>
      <w:bookmarkStart w:id="388" w:name="supported-features"/>
      <w:r>
        <w:rPr/>
        <w:t>The Telangana MVP shall provide terrain analysis, flood assessment, land cover analysis, climate information, administrative lookup, natural language queries, provenance tracking, and citation generation.</w:t>
      </w:r>
      <w:bookmarkEnd w:id="388"/>
    </w:p>
    <w:p>
      <w:pPr>
        <w:pStyle w:val="Heading2"/>
        <w:rPr/>
      </w:pPr>
      <w:bookmarkStart w:id="389" w:name="success-criteria"/>
      <w:r>
        <w:rPr>
          <w:rStyle w:val="SectionNumber"/>
        </w:rPr>
        <w:t>24.6</w:t>
      </w:r>
      <w:r>
        <w:rPr/>
        <w:tab/>
        <w:t>Success Criteria</w:t>
      </w:r>
    </w:p>
    <w:p>
      <w:pPr>
        <w:pStyle w:val="FirstParagraph"/>
        <w:rPr/>
      </w:pPr>
      <w:bookmarkStart w:id="390" w:name="telangana-mvp"/>
      <w:bookmarkStart w:id="391" w:name="success-criteria"/>
      <w:r>
        <w:rPr/>
        <w:t>The MVP shall be considered production-ready when core APIs are stable, dataset connectors are operational, end-to-end testing is successful, performance requirements are achieved, and documentation is complete.</w:t>
      </w:r>
      <w:bookmarkEnd w:id="390"/>
      <w:bookmarkEnd w:id="391"/>
    </w:p>
    <w:p>
      <w:pPr>
        <w:pStyle w:val="Heading1"/>
        <w:rPr/>
      </w:pPr>
      <w:bookmarkStart w:id="392" w:name="multi-state-expansion-strategy"/>
      <w:r>
        <w:rPr>
          <w:rStyle w:val="SectionNumber"/>
        </w:rPr>
        <w:t>25</w:t>
      </w:r>
      <w:r>
        <w:rPr/>
        <w:tab/>
        <w:t>Multi-State Expansion Strategy</w:t>
      </w:r>
    </w:p>
    <w:p>
      <w:pPr>
        <w:pStyle w:val="FirstParagraph"/>
        <w:rPr/>
      </w:pPr>
      <w:r>
        <w:rPr/>
        <w:t>The Prism Earth platform is designed to expand incrementally across India through a configuration-driven architecture. No architectural redesign shall be required when adding new states.</w:t>
      </w:r>
    </w:p>
    <w:p>
      <w:pPr>
        <w:pStyle w:val="Heading2"/>
        <w:rPr/>
      </w:pPr>
      <w:bookmarkStart w:id="393" w:name="expansion-process"/>
      <w:r>
        <w:rPr>
          <w:rStyle w:val="SectionNumber"/>
        </w:rPr>
        <w:t>25.1</w:t>
      </w:r>
      <w:r>
        <w:rPr/>
        <w:tab/>
        <w:t>Expansion Process</w:t>
      </w:r>
    </w:p>
    <w:p>
      <w:pPr>
        <w:pStyle w:val="FirstParagraph"/>
        <w:rPr/>
      </w:pPr>
      <w:r>
        <w:rPr/>
        <w:t>State onboarding shall follow these steps:</w:t>
      </w:r>
    </w:p>
    <w:p>
      <w:pPr>
        <w:pStyle w:val="Compact"/>
        <w:numPr>
          <w:ilvl w:val="0"/>
          <w:numId w:val="198"/>
        </w:numPr>
        <w:rPr/>
      </w:pPr>
      <w:r>
        <w:rPr/>
        <w:t>Register administrative boundaries.</w:t>
      </w:r>
    </w:p>
    <w:p>
      <w:pPr>
        <w:pStyle w:val="Compact"/>
        <w:numPr>
          <w:ilvl w:val="0"/>
          <w:numId w:val="27"/>
        </w:numPr>
        <w:rPr/>
      </w:pPr>
      <w:r>
        <w:rPr/>
        <w:t>Configure datasets.</w:t>
      </w:r>
    </w:p>
    <w:p>
      <w:pPr>
        <w:pStyle w:val="Compact"/>
        <w:numPr>
          <w:ilvl w:val="0"/>
          <w:numId w:val="27"/>
        </w:numPr>
        <w:rPr/>
      </w:pPr>
      <w:r>
        <w:rPr/>
        <w:t>Register connectors.</w:t>
      </w:r>
    </w:p>
    <w:p>
      <w:pPr>
        <w:pStyle w:val="Compact"/>
        <w:numPr>
          <w:ilvl w:val="0"/>
          <w:numId w:val="27"/>
        </w:numPr>
        <w:rPr/>
      </w:pPr>
      <w:r>
        <w:rPr/>
        <w:t>Update the metadata catalog.</w:t>
      </w:r>
    </w:p>
    <w:p>
      <w:pPr>
        <w:pStyle w:val="Compact"/>
        <w:numPr>
          <w:ilvl w:val="0"/>
          <w:numId w:val="27"/>
        </w:numPr>
        <w:rPr/>
      </w:pPr>
      <w:r>
        <w:rPr/>
        <w:t>Validate datasets.</w:t>
      </w:r>
    </w:p>
    <w:p>
      <w:pPr>
        <w:pStyle w:val="Compact"/>
        <w:numPr>
          <w:ilvl w:val="0"/>
          <w:numId w:val="27"/>
        </w:numPr>
        <w:rPr/>
      </w:pPr>
      <w:bookmarkStart w:id="394" w:name="expansion-process"/>
      <w:r>
        <w:rPr/>
        <w:t>Execute integration testing.</w:t>
      </w:r>
      <w:bookmarkEnd w:id="394"/>
    </w:p>
    <w:p>
      <w:pPr>
        <w:pStyle w:val="Heading2"/>
        <w:rPr/>
      </w:pPr>
      <w:bookmarkStart w:id="395" w:name="supported-expansion"/>
      <w:r>
        <w:rPr>
          <w:rStyle w:val="SectionNumber"/>
        </w:rPr>
        <w:t>25.2</w:t>
      </w:r>
      <w:r>
        <w:rPr/>
        <w:tab/>
        <w:t>Supported Expansion</w:t>
      </w:r>
    </w:p>
    <w:p>
      <w:pPr>
        <w:pStyle w:val="FirstParagraph"/>
        <w:rPr/>
      </w:pPr>
      <w:bookmarkStart w:id="396" w:name="supported-expansion"/>
      <w:r>
        <w:rPr/>
        <w:t>Future releases shall include Andhra Pradesh, Karnataka, Tamil Nadu, Maharashtra, Kerala, and the remaining Indian states and union territories.</w:t>
      </w:r>
      <w:bookmarkEnd w:id="396"/>
    </w:p>
    <w:p>
      <w:pPr>
        <w:pStyle w:val="Heading2"/>
        <w:rPr/>
      </w:pPr>
      <w:bookmarkStart w:id="397" w:name="design-principles-1"/>
      <w:r>
        <w:rPr>
          <w:rStyle w:val="SectionNumber"/>
        </w:rPr>
        <w:t>25.3</w:t>
      </w:r>
      <w:r>
        <w:rPr/>
        <w:tab/>
        <w:t>Design Principles</w:t>
      </w:r>
    </w:p>
    <w:p>
      <w:pPr>
        <w:pStyle w:val="FirstParagraph"/>
        <w:rPr/>
      </w:pPr>
      <w:bookmarkStart w:id="398" w:name="design-principles-1"/>
      <w:r>
        <w:rPr/>
        <w:t>The expansion strategy shall ensure zero code duplication, modular connector registration, independent dataset management, backward compatibility, and consistent API behavior.</w:t>
      </w:r>
      <w:bookmarkEnd w:id="398"/>
    </w:p>
    <w:p>
      <w:pPr>
        <w:pStyle w:val="Heading2"/>
        <w:rPr/>
      </w:pPr>
      <w:bookmarkStart w:id="399" w:name="long-term-vision-1"/>
      <w:r>
        <w:rPr>
          <w:rStyle w:val="SectionNumber"/>
        </w:rPr>
        <w:t>25.4</w:t>
      </w:r>
      <w:r>
        <w:rPr/>
        <w:tab/>
        <w:t>Long-Term Vision</w:t>
      </w:r>
    </w:p>
    <w:p>
      <w:pPr>
        <w:pStyle w:val="FirstParagraph"/>
        <w:rPr/>
      </w:pPr>
      <w:bookmarkStart w:id="400" w:name="multi-state-expansion-strategy"/>
      <w:bookmarkStart w:id="401" w:name="long-term-vision-1"/>
      <w:r>
        <w:rPr/>
        <w:t>The platform shall evolve into a nationwide geospatial intelligence infrastructure supporting all Indian states and union territories, government datasets, commercial datasets, AI-driven analytics, enterprise integrations, developer APIs, and MCP-based AI agent workflows. The architecture established in the pilot release shall remain the foundation for all future releases.</w:t>
      </w:r>
      <w:bookmarkEnd w:id="400"/>
      <w:bookmarkEnd w:id="401"/>
    </w:p>
    <w:p>
      <w:pPr>
        <w:pStyle w:val="Heading1"/>
        <w:rPr/>
      </w:pPr>
      <w:r>
        <w:rPr>
          <w:rStyle w:val="SectionNumber"/>
        </w:rPr>
        <w:t>26</w:t>
      </w:r>
      <w:r>
        <w:rPr/>
        <w:tab/>
        <w:t>Authentication &amp; Authorization</w:t>
      </w:r>
    </w:p>
    <w:p>
      <w:pPr>
        <w:pStyle w:val="FirstParagraph"/>
        <w:rPr/>
      </w:pPr>
      <w:r>
        <w:rPr/>
        <w:t>The Prism Earth platform shall implement a secure authentication and authorization framework to protect APIs, administrative functions, and future enterprise features. Version 1 will support development access while remaining extensible for production-grade identity management.</w:t>
      </w:r>
    </w:p>
    <w:p>
      <w:pPr>
        <w:pStyle w:val="BodyText"/>
        <w:rPr/>
      </w:pPr>
      <w:r>
        <w:rPr/>
        <w:t>The authentication system shall secure API access, protect administrative resources, support multiple authentication providers, enable role-based authorization, and allow future enterprise identity integration.</w:t>
      </w:r>
    </w:p>
    <w:p>
      <w:pPr>
        <w:pStyle w:val="Heading2"/>
        <w:rPr/>
      </w:pPr>
      <w:bookmarkStart w:id="402" w:name="authentication-methods"/>
      <w:r>
        <w:rPr>
          <w:rStyle w:val="SectionNumber"/>
        </w:rPr>
        <w:t>26.1</w:t>
      </w:r>
      <w:r>
        <w:rPr/>
        <w:tab/>
        <w:t>Authentication Methods</w:t>
      </w:r>
    </w:p>
    <w:p>
      <w:pPr>
        <w:pStyle w:val="FirstParagraph"/>
        <w:rPr/>
      </w:pPr>
      <w:bookmarkStart w:id="403" w:name="authentication-methods"/>
      <w:r>
        <w:rPr/>
        <w:t>The platform shall support API keys (Version 1), JWT tokens, OAuth 2.0 (future), OpenID Connect (future), service accounts, and MCP authentication.</w:t>
      </w:r>
      <w:bookmarkEnd w:id="403"/>
    </w:p>
    <w:p>
      <w:pPr>
        <w:pStyle w:val="Heading2"/>
        <w:rPr/>
      </w:pPr>
      <w:r>
        <w:rPr>
          <w:rStyle w:val="SectionNumber"/>
        </w:rPr>
        <w:t>26.2</w:t>
      </w:r>
      <w:r>
        <w:rPr/>
        <w:tab/>
        <w:t>User Roles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Administrator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access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Developer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access and debugging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geospatial queries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Agent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Programmatic API access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User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Limited public endpoints</w:t>
            </w:r>
            <w:bookmarkStart w:id="404" w:name="authentication-authorization"/>
            <w:bookmarkStart w:id="405" w:name="user-roles"/>
            <w:bookmarkEnd w:id="404"/>
            <w:bookmarkEnd w:id="405"/>
          </w:p>
        </w:tc>
      </w:tr>
    </w:tbl>
    <w:p>
      <w:pPr>
        <w:pStyle w:val="Heading1"/>
        <w:rPr/>
      </w:pPr>
      <w:r>
        <w:rPr>
          <w:rStyle w:val="SectionNumber"/>
        </w:rPr>
        <w:t>27</w:t>
      </w:r>
      <w:r>
        <w:rPr/>
        <w:tab/>
        <w:t>Logging &amp; Monitoring</w:t>
      </w:r>
    </w:p>
    <w:p>
      <w:pPr>
        <w:pStyle w:val="FirstParagraph"/>
        <w:rPr/>
      </w:pPr>
      <w:r>
        <w:rPr/>
        <w:t>The platform shall implement centralized logging and monitoring to support debugging, observability, performance analysis, and production operations.</w:t>
      </w:r>
    </w:p>
    <w:p>
      <w:pPr>
        <w:pStyle w:val="Heading2"/>
        <w:rPr/>
      </w:pPr>
      <w:bookmarkStart w:id="406" w:name="logging-requirements"/>
      <w:r>
        <w:rPr>
          <w:rStyle w:val="SectionNumber"/>
        </w:rPr>
        <w:t>27.1</w:t>
      </w:r>
      <w:r>
        <w:rPr/>
        <w:tab/>
        <w:t>Logging Requirements</w:t>
      </w:r>
    </w:p>
    <w:p>
      <w:pPr>
        <w:pStyle w:val="FirstParagraph"/>
        <w:rPr/>
      </w:pPr>
      <w:bookmarkStart w:id="407" w:name="logging-requirements"/>
      <w:r>
        <w:rPr/>
        <w:t>The system shall log API requests, API responses, Planner execution, connector execution, dataset calls, errors, partial failures, and authentication events.</w:t>
      </w:r>
      <w:bookmarkEnd w:id="407"/>
    </w:p>
    <w:p>
      <w:pPr>
        <w:pStyle w:val="Heading2"/>
        <w:rPr/>
      </w:pPr>
      <w:bookmarkStart w:id="408" w:name="monitoring-metrics"/>
      <w:r>
        <w:rPr>
          <w:rStyle w:val="SectionNumber"/>
        </w:rPr>
        <w:t>27.2</w:t>
      </w:r>
      <w:r>
        <w:rPr/>
        <w:tab/>
        <w:t>Monitoring Metrics</w:t>
      </w:r>
    </w:p>
    <w:p>
      <w:pPr>
        <w:pStyle w:val="FirstParagraph"/>
        <w:rPr/>
      </w:pPr>
      <w:bookmarkStart w:id="409" w:name="monitoring-metrics"/>
      <w:r>
        <w:rPr/>
        <w:t>The platform shall monitor API latency, request volume, error rate, cache hit ratio, connector health, database performance, and Earth Engine response time.</w:t>
      </w:r>
      <w:bookmarkEnd w:id="409"/>
    </w:p>
    <w:p>
      <w:pPr>
        <w:pStyle w:val="Heading2"/>
        <w:rPr/>
      </w:pPr>
      <w:bookmarkStart w:id="410" w:name="observability-tools"/>
      <w:r>
        <w:rPr>
          <w:rStyle w:val="SectionNumber"/>
        </w:rPr>
        <w:t>27.3</w:t>
      </w:r>
      <w:r>
        <w:rPr/>
        <w:tab/>
        <w:t>Observability Tools</w:t>
      </w:r>
    </w:p>
    <w:p>
      <w:pPr>
        <w:pStyle w:val="FirstParagraph"/>
        <w:rPr/>
      </w:pPr>
      <w:bookmarkStart w:id="411" w:name="observability-tools"/>
      <w:r>
        <w:rPr/>
        <w:t>Recommended tools include OpenTelemetry, Prometheus, Grafana, and Loki.</w:t>
      </w:r>
      <w:bookmarkEnd w:id="411"/>
    </w:p>
    <w:p>
      <w:pPr>
        <w:pStyle w:val="Heading1"/>
        <w:rPr/>
      </w:pPr>
      <w:bookmarkStart w:id="412" w:name="error-handling-exception-management"/>
      <w:r>
        <w:rPr>
          <w:rStyle w:val="SectionNumber"/>
        </w:rPr>
        <w:t>28</w:t>
      </w:r>
      <w:r>
        <w:rPr/>
        <w:tab/>
        <w:t>Error Handling &amp; Exception Management</w:t>
      </w:r>
    </w:p>
    <w:p>
      <w:pPr>
        <w:pStyle w:val="FirstParagraph"/>
        <w:rPr/>
      </w:pPr>
      <w:r>
        <w:rPr/>
        <w:t>The platform shall implement centralized error handling to ensure consistent, user-friendly, and debuggable API responses.</w:t>
      </w:r>
    </w:p>
    <w:p>
      <w:pPr>
        <w:pStyle w:val="Heading2"/>
        <w:rPr/>
      </w:pPr>
      <w:bookmarkStart w:id="413" w:name="error-categories"/>
      <w:r>
        <w:rPr>
          <w:rStyle w:val="SectionNumber"/>
        </w:rPr>
        <w:t>28.1</w:t>
      </w:r>
      <w:r>
        <w:rPr/>
        <w:tab/>
        <w:t>Error Categories</w:t>
      </w:r>
    </w:p>
    <w:p>
      <w:pPr>
        <w:pStyle w:val="FirstParagraph"/>
        <w:rPr/>
      </w:pPr>
      <w:bookmarkStart w:id="414" w:name="error-categories"/>
      <w:r>
        <w:rPr/>
        <w:t>The platform shall handle validation errors, authentication errors, dataset errors, network errors, connector failures, and internal server errors.</w:t>
      </w:r>
      <w:bookmarkEnd w:id="414"/>
    </w:p>
    <w:p>
      <w:pPr>
        <w:pStyle w:val="Heading2"/>
        <w:rPr/>
      </w:pPr>
      <w:bookmarkStart w:id="415" w:name="standard-error-response"/>
      <w:r>
        <w:rPr>
          <w:rStyle w:val="SectionNumber"/>
        </w:rPr>
        <w:t>28.2</w:t>
      </w:r>
      <w:r>
        <w:rPr/>
        <w:tab/>
        <w:t>Standard Error Response</w:t>
      </w:r>
    </w:p>
    <w:p>
      <w:pPr>
        <w:pStyle w:val="SourceCode"/>
        <w:rPr/>
      </w:pPr>
      <w:r>
        <w:rPr>
          <w:rStyle w:val="FunctionTok"/>
        </w:rPr>
        <w:t>{</w:t>
      </w:r>
      <w:r>
        <w:rPr/>
        <w:br/>
      </w:r>
      <w:r>
        <w:rPr>
          <w:rStyle w:val="NormalTok"/>
        </w:rPr>
        <w:t xml:space="preserve">  </w:t>
      </w:r>
      <w:r>
        <w:rPr>
          <w:rStyle w:val="DataTypeTok"/>
        </w:rPr>
        <w:t>"error"</w:t>
      </w:r>
      <w:r>
        <w:rPr>
          <w:rStyle w:val="FunctionTok"/>
        </w:rPr>
        <w:t>:</w:t>
      </w:r>
      <w:r>
        <w:rPr>
          <w:rStyle w:val="NormalTok"/>
        </w:rPr>
        <w:t xml:space="preserve"> </w:t>
      </w:r>
      <w:r>
        <w:rPr>
          <w:rStyle w:val="FunctionTok"/>
        </w:rPr>
        <w:t>{</w:t>
      </w:r>
      <w:r>
        <w:rPr/>
        <w:br/>
      </w:r>
      <w:r>
        <w:rPr>
          <w:rStyle w:val="NormalTok"/>
        </w:rPr>
        <w:t xml:space="preserve">    </w:t>
      </w:r>
      <w:r>
        <w:rPr>
          <w:rStyle w:val="DataTypeTok"/>
        </w:rPr>
        <w:t>"code"</w:t>
      </w:r>
      <w:r>
        <w:rPr>
          <w:rStyle w:val="FunctionTok"/>
        </w:rPr>
        <w:t>:</w:t>
      </w:r>
      <w:r>
        <w:rPr>
          <w:rStyle w:val="NormalTok"/>
        </w:rPr>
        <w:t xml:space="preserve"> </w:t>
      </w:r>
      <w:r>
        <w:rPr>
          <w:rStyle w:val="StringTok"/>
        </w:rPr>
        <w:t>"DATASET_TIMEOUT"</w:t>
      </w:r>
      <w:r>
        <w:rPr>
          <w:rStyle w:val="FunctionTok"/>
        </w:rPr>
        <w:t>,</w:t>
      </w:r>
      <w:r>
        <w:rPr/>
        <w:br/>
      </w:r>
      <w:r>
        <w:rPr>
          <w:rStyle w:val="NormalTok"/>
        </w:rPr>
        <w:t xml:space="preserve">    </w:t>
      </w:r>
      <w:r>
        <w:rPr>
          <w:rStyle w:val="DataTypeTok"/>
        </w:rPr>
        <w:t>"message"</w:t>
      </w:r>
      <w:r>
        <w:rPr>
          <w:rStyle w:val="FunctionTok"/>
        </w:rPr>
        <w:t>:</w:t>
      </w:r>
      <w:r>
        <w:rPr>
          <w:rStyle w:val="NormalTok"/>
        </w:rPr>
        <w:t xml:space="preserve"> </w:t>
      </w:r>
      <w:r>
        <w:rPr>
          <w:rStyle w:val="StringTok"/>
        </w:rPr>
        <w:t>"Climate dataset request timed out."</w:t>
      </w:r>
      <w:r>
        <w:rPr>
          <w:rStyle w:val="FunctionTok"/>
        </w:rPr>
        <w:t>,</w:t>
      </w:r>
      <w:r>
        <w:rPr/>
        <w:br/>
      </w:r>
      <w:r>
        <w:rPr>
          <w:rStyle w:val="NormalTok"/>
        </w:rPr>
        <w:t xml:space="preserve">    </w:t>
      </w:r>
      <w:r>
        <w:rPr>
          <w:rStyle w:val="DataTypeTok"/>
        </w:rPr>
        <w:t>"correlation_id"</w:t>
      </w:r>
      <w:r>
        <w:rPr>
          <w:rStyle w:val="FunctionTok"/>
        </w:rPr>
        <w:t>:</w:t>
      </w:r>
      <w:r>
        <w:rPr>
          <w:rStyle w:val="NormalTok"/>
        </w:rPr>
        <w:t xml:space="preserve"> </w:t>
      </w:r>
      <w:r>
        <w:rPr>
          <w:rStyle w:val="StringTok"/>
        </w:rPr>
        <w:t>"REQ-123456"</w:t>
      </w:r>
      <w:r>
        <w:rPr>
          <w:rStyle w:val="FunctionTok"/>
        </w:rPr>
        <w:t>,</w:t>
      </w:r>
      <w:r>
        <w:rPr/>
        <w:br/>
      </w:r>
      <w:r>
        <w:rPr>
          <w:rStyle w:val="NormalTok"/>
        </w:rPr>
        <w:t xml:space="preserve">    </w:t>
      </w:r>
      <w:r>
        <w:rPr>
          <w:rStyle w:val="DataTypeTok"/>
        </w:rPr>
        <w:t>"timestamp"</w:t>
      </w:r>
      <w:r>
        <w:rPr>
          <w:rStyle w:val="FunctionTok"/>
        </w:rPr>
        <w:t>:</w:t>
      </w:r>
      <w:r>
        <w:rPr>
          <w:rStyle w:val="NormalTok"/>
        </w:rPr>
        <w:t xml:space="preserve"> </w:t>
      </w:r>
      <w:r>
        <w:rPr>
          <w:rStyle w:val="StringTok"/>
        </w:rPr>
        <w:t>"2026-06-26T10:30:00Z"</w:t>
      </w:r>
      <w:r>
        <w:rPr/>
        <w:br/>
      </w:r>
      <w:r>
        <w:rPr>
          <w:rStyle w:val="NormalTok"/>
        </w:rPr>
        <w:t xml:space="preserve">  </w:t>
      </w:r>
      <w:r>
        <w:rPr>
          <w:rStyle w:val="FunctionTok"/>
        </w:rPr>
        <w:t>}</w:t>
      </w:r>
      <w:r>
        <w:rPr/>
        <w:br/>
      </w:r>
      <w:r>
        <w:rPr>
          <w:rStyle w:val="FunctionTok"/>
        </w:rPr>
        <w:t>}</w:t>
      </w:r>
      <w:bookmarkEnd w:id="415"/>
    </w:p>
    <w:p>
      <w:pPr>
        <w:pStyle w:val="Heading2"/>
        <w:rPr/>
      </w:pPr>
      <w:bookmarkStart w:id="416" w:name="partial-failures-2"/>
      <w:r>
        <w:rPr>
          <w:rStyle w:val="SectionNumber"/>
        </w:rPr>
        <w:t>28.3</w:t>
      </w:r>
      <w:r>
        <w:rPr/>
        <w:tab/>
        <w:t>Partial Failures</w:t>
      </w:r>
    </w:p>
    <w:p>
      <w:pPr>
        <w:pStyle w:val="FirstParagraph"/>
        <w:rPr/>
      </w:pPr>
      <w:r>
        <w:rPr/>
        <w:t xml:space="preserve">Connector failures shall be reported through the </w:t>
      </w:r>
      <w:r>
        <w:rPr>
          <w:rStyle w:val="VerbatimChar"/>
        </w:rPr>
        <w:t>partial_failures</w:t>
      </w:r>
      <w:r>
        <w:rPr/>
        <w:t xml:space="preserve"> object without terminating the request.</w:t>
      </w:r>
      <w:bookmarkEnd w:id="412"/>
      <w:bookmarkEnd w:id="416"/>
    </w:p>
    <w:p>
      <w:pPr>
        <w:pStyle w:val="Heading1"/>
        <w:rPr/>
      </w:pPr>
      <w:bookmarkStart w:id="417" w:name="security-architecture"/>
      <w:r>
        <w:rPr>
          <w:rStyle w:val="SectionNumber"/>
        </w:rPr>
        <w:t>29</w:t>
      </w:r>
      <w:r>
        <w:rPr/>
        <w:tab/>
        <w:t>Security Architecture</w:t>
      </w:r>
    </w:p>
    <w:p>
      <w:pPr>
        <w:pStyle w:val="FirstParagraph"/>
        <w:rPr/>
      </w:pPr>
      <w:r>
        <w:rPr/>
        <w:t>Security shall be incorporated throughout the platform to protect infrastructure, APIs, datasets, and user interactions.</w:t>
      </w:r>
    </w:p>
    <w:p>
      <w:pPr>
        <w:pStyle w:val="Heading2"/>
        <w:rPr/>
      </w:pPr>
      <w:bookmarkStart w:id="418" w:name="security-requirements"/>
      <w:r>
        <w:rPr>
          <w:rStyle w:val="SectionNumber"/>
        </w:rPr>
        <w:t>29.1</w:t>
      </w:r>
      <w:r>
        <w:rPr/>
        <w:tab/>
        <w:t>Security Requirements</w:t>
      </w:r>
    </w:p>
    <w:p>
      <w:pPr>
        <w:pStyle w:val="FirstParagraph"/>
        <w:rPr/>
      </w:pPr>
      <w:bookmarkStart w:id="419" w:name="security-requirements"/>
      <w:r>
        <w:rPr/>
        <w:t>The platform shall implement HTTPS encryption, input validation, request sanitization, rate limiting, secure secrets management, API authentication, role-based authorization, and audit logging.</w:t>
      </w:r>
      <w:bookmarkEnd w:id="419"/>
    </w:p>
    <w:p>
      <w:pPr>
        <w:pStyle w:val="Heading2"/>
        <w:rPr/>
      </w:pPr>
      <w:bookmarkStart w:id="420" w:name="infrastructure-security"/>
      <w:r>
        <w:rPr>
          <w:rStyle w:val="SectionNumber"/>
        </w:rPr>
        <w:t>29.2</w:t>
      </w:r>
      <w:r>
        <w:rPr/>
        <w:tab/>
        <w:t>Infrastructure Security</w:t>
      </w:r>
    </w:p>
    <w:p>
      <w:pPr>
        <w:pStyle w:val="FirstParagraph"/>
        <w:rPr/>
      </w:pPr>
      <w:bookmarkStart w:id="421" w:name="infrastructure-security"/>
      <w:r>
        <w:rPr/>
        <w:t>The deployment environment shall include firewall protection, TLS certificates, secure environment variables, database encryption, and regular security updates.</w:t>
      </w:r>
      <w:bookmarkEnd w:id="421"/>
    </w:p>
    <w:p>
      <w:pPr>
        <w:pStyle w:val="Heading2"/>
        <w:rPr/>
      </w:pPr>
      <w:bookmarkStart w:id="422" w:name="api-security"/>
      <w:r>
        <w:rPr>
          <w:rStyle w:val="SectionNumber"/>
        </w:rPr>
        <w:t>29.3</w:t>
      </w:r>
      <w:r>
        <w:rPr/>
        <w:tab/>
        <w:t>API Security</w:t>
      </w:r>
    </w:p>
    <w:p>
      <w:pPr>
        <w:pStyle w:val="FirstParagraph"/>
        <w:rPr/>
      </w:pPr>
      <w:bookmarkStart w:id="423" w:name="security-architecture"/>
      <w:bookmarkStart w:id="424" w:name="api-security"/>
      <w:r>
        <w:rPr/>
        <w:t>The API Gateway shall support API keys, JWT authentication, request validation, CORS policies, and rate limiting.</w:t>
      </w:r>
      <w:bookmarkEnd w:id="423"/>
      <w:bookmarkEnd w:id="424"/>
    </w:p>
    <w:p>
      <w:pPr>
        <w:pStyle w:val="Heading1"/>
        <w:rPr/>
      </w:pPr>
      <w:bookmarkStart w:id="425" w:name="testing-strategy"/>
      <w:r>
        <w:rPr>
          <w:rStyle w:val="SectionNumber"/>
        </w:rPr>
        <w:t>30</w:t>
      </w:r>
      <w:r>
        <w:rPr/>
        <w:tab/>
        <w:t>Testing Strategy</w:t>
      </w:r>
    </w:p>
    <w:p>
      <w:pPr>
        <w:pStyle w:val="FirstParagraph"/>
        <w:rPr/>
      </w:pPr>
      <w:r>
        <w:rPr/>
        <w:t>The Prism Earth platform shall adopt a comprehensive testing strategy to ensure software quality, reliability, and production readiness, covering unit testing, integration testing, API testing, end-to-end testing, performance testing, security testing, and regression testing.</w:t>
      </w:r>
    </w:p>
    <w:p>
      <w:pPr>
        <w:pStyle w:val="Heading2"/>
        <w:rPr/>
      </w:pPr>
      <w:bookmarkStart w:id="426" w:name="backend-testing"/>
      <w:r>
        <w:rPr>
          <w:rStyle w:val="SectionNumber"/>
        </w:rPr>
        <w:t>30.1</w:t>
      </w:r>
      <w:r>
        <w:rPr/>
        <w:tab/>
        <w:t>Backend Testing</w:t>
      </w:r>
    </w:p>
    <w:p>
      <w:pPr>
        <w:pStyle w:val="FirstParagraph"/>
        <w:rPr/>
      </w:pPr>
      <w:bookmarkStart w:id="427" w:name="backend-testing"/>
      <w:r>
        <w:rPr/>
        <w:t>The backend shall test the Planner, Fetch Engine, dataset connectors, Citation Engine, Provenance System, and REST APIs.</w:t>
      </w:r>
      <w:bookmarkEnd w:id="427"/>
    </w:p>
    <w:p>
      <w:pPr>
        <w:pStyle w:val="Heading2"/>
        <w:rPr/>
      </w:pPr>
      <w:bookmarkStart w:id="428" w:name="frontend-testing"/>
      <w:r>
        <w:rPr>
          <w:rStyle w:val="SectionNumber"/>
        </w:rPr>
        <w:t>30.2</w:t>
      </w:r>
      <w:r>
        <w:rPr/>
        <w:tab/>
        <w:t>Frontend Testing</w:t>
      </w:r>
    </w:p>
    <w:p>
      <w:pPr>
        <w:pStyle w:val="FirstParagraph"/>
        <w:rPr/>
      </w:pPr>
      <w:bookmarkStart w:id="429" w:name="frontend-testing"/>
      <w:r>
        <w:rPr/>
        <w:t>The frontend shall test UI components, forms, API integration, responsive design, accessibility, and user workflows.</w:t>
      </w:r>
      <w:bookmarkEnd w:id="429"/>
    </w:p>
    <w:p>
      <w:pPr>
        <w:pStyle w:val="Heading2"/>
        <w:rPr/>
      </w:pPr>
      <w:r>
        <w:rPr>
          <w:rStyle w:val="SectionNumber"/>
        </w:rPr>
        <w:t>30.3</w:t>
      </w:r>
      <w:r>
        <w:rPr/>
        <w:tab/>
        <w:t>Testing Tools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Backend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Pytest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Frontend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Vitest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Postman / Pytest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Playwright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Locust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Coverage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Coverage.py</w:t>
            </w:r>
            <w:bookmarkStart w:id="430" w:name="testing-tools"/>
            <w:bookmarkEnd w:id="430"/>
          </w:p>
        </w:tc>
      </w:tr>
    </w:tbl>
    <w:p>
      <w:pPr>
        <w:pStyle w:val="Heading2"/>
        <w:rPr/>
      </w:pPr>
      <w:r>
        <w:rPr>
          <w:rStyle w:val="SectionNumber"/>
        </w:rPr>
        <w:t>30.4</w:t>
      </w:r>
      <w:r>
        <w:rPr/>
        <w:tab/>
        <w:t>Continuous Testing</w:t>
      </w:r>
    </w:p>
    <w:p>
      <w:pPr>
        <w:pStyle w:val="FirstParagraph"/>
        <w:rPr/>
      </w:pPr>
      <w:r>
        <w:rPr/>
        <w:t>Testing shall be integrated into the CI/CD pipeline. Every pull request shall execute code quality checks, unit tests, integration tests, API validation, and build verification. Deployment shall proceed only after successful validation.</w:t>
      </w:r>
    </w:p>
    <w:p>
      <w:pPr>
        <w:pStyle w:val="Heading2"/>
        <w:rPr/>
      </w:pPr>
      <w:bookmarkStart w:id="431" w:name="acceptance-criteria"/>
      <w:r>
        <w:rPr>
          <w:rStyle w:val="SectionNumber"/>
        </w:rPr>
        <w:t>30.5</w:t>
      </w:r>
      <w:r>
        <w:rPr/>
        <w:tab/>
        <w:t>Acceptance Criteria</w:t>
      </w:r>
    </w:p>
    <w:p>
      <w:pPr>
        <w:pStyle w:val="FirstParagraph"/>
        <w:rPr/>
      </w:pPr>
      <w:bookmarkStart w:id="432" w:name="testing-strategy"/>
      <w:bookmarkStart w:id="433" w:name="acceptance-criteria"/>
      <w:r>
        <w:rPr/>
        <w:t>The platform shall be considered production-ready when all automated tests pass, critical defects are resolved, API contracts are validated, performance targets are met, and security checks are completed.</w:t>
      </w:r>
      <w:bookmarkEnd w:id="432"/>
      <w:bookmarkEnd w:id="433"/>
    </w:p>
    <w:p>
      <w:pPr>
        <w:pStyle w:val="Heading1"/>
        <w:rPr/>
      </w:pPr>
      <w:bookmarkStart w:id="434" w:name="cicd-pipeline"/>
      <w:r>
        <w:rPr>
          <w:rStyle w:val="SectionNumber"/>
        </w:rPr>
        <w:t>31</w:t>
      </w:r>
      <w:r>
        <w:rPr/>
        <w:tab/>
        <w:t>CI/CD Pipeline</w:t>
      </w:r>
    </w:p>
    <w:p>
      <w:pPr>
        <w:pStyle w:val="FirstParagraph"/>
        <w:rPr/>
      </w:pPr>
      <w:r>
        <w:rPr/>
        <w:t>The Prism Earth platform shall implement a Continuous Integration and Continuous Deployment (CI/CD) pipeline to automate code validation, testing, security scanning, and deployment, ensuring that only validated code reaches production.</w:t>
      </w:r>
    </w:p>
    <w:p>
      <w:pPr>
        <w:pStyle w:val="BodyText"/>
        <w:rPr/>
      </w:pPr>
      <w:r>
        <w:rPr/>
        <w:t>The CI/CD pipeline shall automate software builds, execute automated tests, perform code quality analysis, scan for security vulnerabilities, build Docker images, deploy validated releases, and support multiple deployment environments.</w:t>
      </w:r>
    </w:p>
    <w:p>
      <w:pPr>
        <w:pStyle w:val="Heading2"/>
        <w:rPr/>
      </w:pPr>
      <w:bookmarkStart w:id="435" w:name="pipeline-workflow"/>
      <w:r>
        <w:rPr>
          <w:rStyle w:val="SectionNumber"/>
        </w:rPr>
        <w:t>31.1</w:t>
      </w:r>
      <w:r>
        <w:rPr/>
        <w:tab/>
        <w:t>Pipeline Workflow</w:t>
      </w:r>
    </w:p>
    <w:p>
      <w:pPr>
        <w:pStyle w:val="FirstParagraph"/>
        <w:rPr/>
      </w:pPr>
      <w:bookmarkStart w:id="436" w:name="pipeline-workflow"/>
      <w:r>
        <w:rPr/>
        <w:t>Developer → GitHub push → build → lint → unit tests → integration tests → security scan → Docker build → deployment → production.</w:t>
      </w:r>
      <w:bookmarkEnd w:id="436"/>
    </w:p>
    <w:p>
      <w:pPr>
        <w:pStyle w:val="Heading2"/>
        <w:rPr/>
      </w:pPr>
      <w:bookmarkStart w:id="437" w:name="deployment-environments"/>
      <w:r>
        <w:rPr>
          <w:rStyle w:val="SectionNumber"/>
        </w:rPr>
        <w:t>31.2</w:t>
      </w:r>
      <w:r>
        <w:rPr/>
        <w:tab/>
        <w:t>Deployment Environments</w:t>
      </w:r>
    </w:p>
    <w:p>
      <w:pPr>
        <w:pStyle w:val="FirstParagraph"/>
        <w:rPr/>
      </w:pPr>
      <w:bookmarkStart w:id="438" w:name="cicd-pipeline"/>
      <w:bookmarkStart w:id="439" w:name="deployment-environments"/>
      <w:r>
        <w:rPr/>
        <w:t>The platform shall support Development, Testing, Staging, and Production environments. Each environment shall maintain independent configurations and secrets.</w:t>
      </w:r>
      <w:bookmarkEnd w:id="438"/>
      <w:bookmarkEnd w:id="439"/>
    </w:p>
    <w:p>
      <w:pPr>
        <w:pStyle w:val="Heading1"/>
        <w:rPr/>
      </w:pPr>
      <w:bookmarkStart w:id="440" w:name="docker-containerization"/>
      <w:r>
        <w:rPr>
          <w:rStyle w:val="SectionNumber"/>
        </w:rPr>
        <w:t>32</w:t>
      </w:r>
      <w:r>
        <w:rPr/>
        <w:tab/>
        <w:t>Docker &amp; Containerization</w:t>
      </w:r>
    </w:p>
    <w:p>
      <w:pPr>
        <w:pStyle w:val="FirstParagraph"/>
        <w:rPr/>
      </w:pPr>
      <w:r>
        <w:rPr/>
        <w:t>The Prism Earth platform shall use Docker to ensure consistent deployments across development, testing, and production environments. Containerization shall simplify deployment, ensure environment consistency, support cloud-native infrastructure, enable horizontal scaling, and reduce dependency conflicts.</w:t>
      </w:r>
    </w:p>
    <w:p>
      <w:pPr>
        <w:pStyle w:val="Heading2"/>
        <w:rPr/>
      </w:pPr>
      <w:bookmarkStart w:id="441" w:name="containers"/>
      <w:r>
        <w:rPr>
          <w:rStyle w:val="SectionNumber"/>
        </w:rPr>
        <w:t>32.1</w:t>
      </w:r>
      <w:r>
        <w:rPr/>
        <w:tab/>
        <w:t>Containers</w:t>
      </w:r>
    </w:p>
    <w:p>
      <w:pPr>
        <w:pStyle w:val="FirstParagraph"/>
        <w:rPr/>
      </w:pPr>
      <w:bookmarkStart w:id="442" w:name="containers"/>
      <w:r>
        <w:rPr/>
        <w:t>The platform shall include separate containers for the Frontend (Next.js), Backend (FastAPI), PostgreSQL/PostGIS, Redis, and an Nginx reverse proxy. Optional future containers include Prometheus, Grafana, and the MCP server.</w:t>
      </w:r>
      <w:bookmarkEnd w:id="442"/>
    </w:p>
    <w:p>
      <w:pPr>
        <w:pStyle w:val="Heading2"/>
        <w:rPr/>
      </w:pPr>
      <w:bookmarkStart w:id="443" w:name="docker-compose"/>
      <w:r>
        <w:rPr>
          <w:rStyle w:val="SectionNumber"/>
        </w:rPr>
        <w:t>32.2</w:t>
      </w:r>
      <w:r>
        <w:rPr/>
        <w:tab/>
        <w:t>Docker Compose</w:t>
      </w:r>
    </w:p>
    <w:p>
      <w:pPr>
        <w:pStyle w:val="FirstParagraph"/>
        <w:rPr/>
      </w:pPr>
      <w:bookmarkStart w:id="444" w:name="docker-containerization"/>
      <w:bookmarkStart w:id="445" w:name="docker-compose"/>
      <w:r>
        <w:rPr/>
        <w:t>Docker Compose shall orchestrate local development by managing networking, volumes, environment variables, and service dependencies.</w:t>
      </w:r>
      <w:bookmarkEnd w:id="444"/>
      <w:bookmarkEnd w:id="445"/>
    </w:p>
    <w:p>
      <w:pPr>
        <w:pStyle w:val="Heading1"/>
        <w:rPr/>
      </w:pPr>
      <w:bookmarkStart w:id="446" w:name="deployment-architecture"/>
      <w:r>
        <w:rPr>
          <w:rStyle w:val="SectionNumber"/>
        </w:rPr>
        <w:t>33</w:t>
      </w:r>
      <w:r>
        <w:rPr/>
        <w:tab/>
        <w:t>Deployment Architecture</w:t>
      </w:r>
    </w:p>
    <w:p>
      <w:pPr>
        <w:pStyle w:val="FirstParagraph"/>
        <w:rPr/>
      </w:pPr>
      <w:r>
        <w:rPr/>
        <w:t>The deployment architecture defines how Prism Earth is hosted and operated in production. The system shall support cloud-native deployment while remaining compatible with on-premise infrastructure.</w:t>
      </w:r>
    </w:p>
    <w:p>
      <w:pPr>
        <w:pStyle w:val="Heading2"/>
        <w:rPr/>
      </w:pPr>
      <w:bookmarkStart w:id="447" w:name="production-topology"/>
      <w:r>
        <w:rPr>
          <w:rStyle w:val="SectionNumber"/>
        </w:rPr>
        <w:t>33.1</w:t>
      </w:r>
      <w:r>
        <w:rPr/>
        <w:tab/>
        <w:t>Production Topology</w:t>
      </w:r>
    </w:p>
    <w:p>
      <w:pPr>
        <w:pStyle w:val="FirstParagraph"/>
        <w:rPr/>
      </w:pPr>
      <w:bookmarkStart w:id="448" w:name="production-topology"/>
      <w:r>
        <w:rPr/>
        <w:t>Production traffic flows from users through a load balancer and Nginx to the frontend and FastAPI backend, which are supported by Redis, PostGIS, and Google Earth Engine.</w:t>
      </w:r>
      <w:bookmarkEnd w:id="448"/>
    </w:p>
    <w:p>
      <w:pPr>
        <w:pStyle w:val="Heading2"/>
        <w:rPr/>
      </w:pPr>
      <w:bookmarkStart w:id="449" w:name="deployment-components"/>
      <w:r>
        <w:rPr>
          <w:rStyle w:val="SectionNumber"/>
        </w:rPr>
        <w:t>33.2</w:t>
      </w:r>
      <w:r>
        <w:rPr/>
        <w:tab/>
        <w:t>Deployment Components</w:t>
      </w:r>
    </w:p>
    <w:p>
      <w:pPr>
        <w:pStyle w:val="FirstParagraph"/>
        <w:rPr/>
      </w:pPr>
      <w:bookmarkStart w:id="450" w:name="deployment-components"/>
      <w:r>
        <w:rPr/>
        <w:t>Production deployment shall include the frontend server, backend API, PostgreSQL/PostGIS, Redis cache, reverse proxy, and monitoring stack.</w:t>
      </w:r>
      <w:bookmarkEnd w:id="450"/>
    </w:p>
    <w:p>
      <w:pPr>
        <w:pStyle w:val="Heading2"/>
        <w:rPr/>
      </w:pPr>
      <w:bookmarkStart w:id="451" w:name="scalability-1"/>
      <w:r>
        <w:rPr>
          <w:rStyle w:val="SectionNumber"/>
        </w:rPr>
        <w:t>33.3</w:t>
      </w:r>
      <w:r>
        <w:rPr/>
        <w:tab/>
        <w:t>Scalability</w:t>
      </w:r>
    </w:p>
    <w:p>
      <w:pPr>
        <w:pStyle w:val="FirstParagraph"/>
        <w:rPr/>
      </w:pPr>
      <w:bookmarkStart w:id="452" w:name="deployment-architecture"/>
      <w:bookmarkStart w:id="453" w:name="scalability-1"/>
      <w:r>
        <w:rPr/>
        <w:t>The deployment shall support horizontal API scaling, load balancing, independent frontend deployment, distributed caching, and database replication.</w:t>
      </w:r>
      <w:bookmarkEnd w:id="452"/>
      <w:bookmarkEnd w:id="453"/>
    </w:p>
    <w:p>
      <w:pPr>
        <w:pStyle w:val="Heading1"/>
        <w:rPr/>
      </w:pPr>
      <w:bookmarkStart w:id="454" w:name="mcp-server-integration"/>
      <w:r>
        <w:rPr>
          <w:rStyle w:val="SectionNumber"/>
        </w:rPr>
        <w:t>34</w:t>
      </w:r>
      <w:r>
        <w:rPr/>
        <w:tab/>
        <w:t>MCP Server Integration</w:t>
      </w:r>
    </w:p>
    <w:p>
      <w:pPr>
        <w:pStyle w:val="FirstParagraph"/>
        <w:rPr/>
      </w:pPr>
      <w:r>
        <w:rPr/>
        <w:t>The Prism Earth platform shall expose its capabilities through a Model Context Protocol (MCP) Server, enabling AI assistants and coding agents to access deterministic geospatial intelligence. The MCP server shall expose platform capabilities as AI tools, enable AI agent integration, maintain deterministic execution, return structured responses, and preserve provenance and citations.</w:t>
      </w:r>
    </w:p>
    <w:p>
      <w:pPr>
        <w:pStyle w:val="Heading2"/>
        <w:rPr/>
      </w:pPr>
      <w:bookmarkStart w:id="455" w:name="supported-tools"/>
      <w:r>
        <w:rPr>
          <w:rStyle w:val="SectionNumber"/>
        </w:rPr>
        <w:t>34.1</w:t>
      </w:r>
      <w:r>
        <w:rPr/>
        <w:tab/>
        <w:t>Supported Tools</w:t>
      </w:r>
    </w:p>
    <w:p>
      <w:pPr>
        <w:pStyle w:val="FirstParagraph"/>
        <w:rPr/>
      </w:pPr>
      <w:r>
        <w:rPr/>
        <w:t>Version 1 shall expose:</w:t>
      </w:r>
    </w:p>
    <w:p>
      <w:pPr>
        <w:pStyle w:val="Compact"/>
        <w:numPr>
          <w:ilvl w:val="0"/>
          <w:numId w:val="199"/>
        </w:numPr>
        <w:rPr/>
      </w:pPr>
      <w:r>
        <w:rPr>
          <w:rStyle w:val="VerbatimChar"/>
          <w:b/>
          <w:bCs/>
        </w:rPr>
        <w:t>prism_earth_fetch</w:t>
      </w:r>
      <w:r>
        <w:rPr/>
        <w:t xml:space="preserve"> — retrieves deterministic geospatial data.</w:t>
      </w:r>
    </w:p>
    <w:p>
      <w:pPr>
        <w:pStyle w:val="Compact"/>
        <w:numPr>
          <w:ilvl w:val="0"/>
          <w:numId w:val="200"/>
        </w:numPr>
        <w:rPr/>
      </w:pPr>
      <w:r>
        <w:rPr>
          <w:rStyle w:val="VerbatimChar"/>
          <w:b/>
          <w:bCs/>
        </w:rPr>
        <w:t>prism_earth_ask</w:t>
      </w:r>
      <w:r>
        <w:rPr/>
        <w:t xml:space="preserve"> — answers natural language questions using the Planner → Fetch → Synthesizer pipeline.</w:t>
      </w:r>
      <w:bookmarkEnd w:id="455"/>
    </w:p>
    <w:p>
      <w:pPr>
        <w:pStyle w:val="Heading2"/>
        <w:rPr/>
      </w:pPr>
      <w:bookmarkStart w:id="456" w:name="mcp-workflow"/>
      <w:r>
        <w:rPr>
          <w:rStyle w:val="SectionNumber"/>
        </w:rPr>
        <w:t>34.2</w:t>
      </w:r>
      <w:r>
        <w:rPr/>
        <w:tab/>
        <w:t>MCP Workflow</w:t>
      </w:r>
    </w:p>
    <w:p>
      <w:pPr>
        <w:pStyle w:val="FirstParagraph"/>
        <w:rPr/>
      </w:pPr>
      <w:bookmarkStart w:id="457" w:name="mcp-server-integration"/>
      <w:bookmarkStart w:id="458" w:name="mcp-workflow"/>
      <w:r>
        <w:rPr/>
        <w:t>AI agent → MCP client → MCP server → REST API → Planner → Fetch Engine → response.</w:t>
      </w:r>
      <w:bookmarkEnd w:id="457"/>
      <w:bookmarkEnd w:id="458"/>
    </w:p>
    <w:p>
      <w:pPr>
        <w:pStyle w:val="Heading1"/>
        <w:rPr/>
      </w:pPr>
      <w:bookmarkStart w:id="459" w:name="coding-standards-best-practices"/>
      <w:r>
        <w:rPr>
          <w:rStyle w:val="SectionNumber"/>
        </w:rPr>
        <w:t>35</w:t>
      </w:r>
      <w:r>
        <w:rPr/>
        <w:tab/>
        <w:t>Coding Standards &amp; Best Practices</w:t>
      </w:r>
    </w:p>
    <w:p>
      <w:pPr>
        <w:pStyle w:val="FirstParagraph"/>
        <w:rPr/>
      </w:pPr>
      <w:r>
        <w:rPr/>
        <w:t>The Prism Earth codebase shall follow consistent coding standards to improve readability, maintainability, and collaboration.</w:t>
      </w:r>
    </w:p>
    <w:p>
      <w:pPr>
        <w:pStyle w:val="Heading2"/>
        <w:rPr/>
      </w:pPr>
      <w:bookmarkStart w:id="460" w:name="general-principles"/>
      <w:r>
        <w:rPr>
          <w:rStyle w:val="SectionNumber"/>
        </w:rPr>
        <w:t>35.1</w:t>
      </w:r>
      <w:r>
        <w:rPr/>
        <w:tab/>
        <w:t>General Principles</w:t>
      </w:r>
    </w:p>
    <w:p>
      <w:pPr>
        <w:pStyle w:val="FirstParagraph"/>
        <w:rPr/>
      </w:pPr>
      <w:bookmarkStart w:id="461" w:name="general-principles"/>
      <w:r>
        <w:rPr/>
        <w:t>The project shall follow Clean Architecture, SOLID principles, DRY (Don’t Repeat Yourself), KISS (Keep It Simple), composition over inheritance, and configuration over hardcoding.</w:t>
      </w:r>
      <w:bookmarkEnd w:id="461"/>
    </w:p>
    <w:p>
      <w:pPr>
        <w:pStyle w:val="Heading2"/>
        <w:rPr/>
      </w:pPr>
      <w:bookmarkStart w:id="462" w:name="backend-standards"/>
      <w:r>
        <w:rPr>
          <w:rStyle w:val="SectionNumber"/>
        </w:rPr>
        <w:t>35.2</w:t>
      </w:r>
      <w:r>
        <w:rPr/>
        <w:tab/>
        <w:t>Backend Standards</w:t>
      </w:r>
    </w:p>
    <w:p>
      <w:pPr>
        <w:pStyle w:val="FirstParagraph"/>
        <w:rPr/>
      </w:pPr>
      <w:bookmarkStart w:id="463" w:name="backend-standards"/>
      <w:r>
        <w:rPr/>
        <w:t>The backend shall follow PEP 8, use type hints, follow asynchronous programming best practices, separate business logic from infrastructure, and use dependency injection.</w:t>
      </w:r>
      <w:bookmarkEnd w:id="463"/>
    </w:p>
    <w:p>
      <w:pPr>
        <w:pStyle w:val="Heading2"/>
        <w:rPr/>
      </w:pPr>
      <w:bookmarkStart w:id="464" w:name="frontend-standards"/>
      <w:r>
        <w:rPr>
          <w:rStyle w:val="SectionNumber"/>
        </w:rPr>
        <w:t>35.3</w:t>
      </w:r>
      <w:r>
        <w:rPr/>
        <w:tab/>
        <w:t>Frontend Standards</w:t>
      </w:r>
    </w:p>
    <w:p>
      <w:pPr>
        <w:pStyle w:val="FirstParagraph"/>
        <w:rPr/>
      </w:pPr>
      <w:bookmarkStart w:id="465" w:name="frontend-standards"/>
      <w:r>
        <w:rPr/>
        <w:t>The frontend shall use TypeScript, implement reusable components, avoid business logic inside UI components, follow feature-based organization, and maintain accessibility standards.</w:t>
      </w:r>
      <w:bookmarkEnd w:id="465"/>
    </w:p>
    <w:p>
      <w:pPr>
        <w:pStyle w:val="Heading2"/>
        <w:rPr/>
      </w:pPr>
      <w:bookmarkStart w:id="466" w:name="git-standards"/>
      <w:r>
        <w:rPr>
          <w:rStyle w:val="SectionNumber"/>
        </w:rPr>
        <w:t>35.4</w:t>
      </w:r>
      <w:r>
        <w:rPr/>
        <w:tab/>
        <w:t>Git Standards</w:t>
      </w:r>
    </w:p>
    <w:p>
      <w:pPr>
        <w:pStyle w:val="FirstParagraph"/>
        <w:rPr/>
      </w:pPr>
      <w:bookmarkStart w:id="467" w:name="git-standards"/>
      <w:r>
        <w:rPr/>
        <w:t>The project shall use feature branches, pull requests, code reviews, semantic commit messages, and a protected main branch.</w:t>
      </w:r>
      <w:bookmarkEnd w:id="467"/>
    </w:p>
    <w:p>
      <w:pPr>
        <w:pStyle w:val="Heading2"/>
        <w:rPr/>
      </w:pPr>
      <w:bookmarkStart w:id="468" w:name="documentation-standards"/>
      <w:r>
        <w:rPr>
          <w:rStyle w:val="SectionNumber"/>
        </w:rPr>
        <w:t>35.5</w:t>
      </w:r>
      <w:r>
        <w:rPr/>
        <w:tab/>
        <w:t>Documentation Standards</w:t>
      </w:r>
    </w:p>
    <w:p>
      <w:pPr>
        <w:pStyle w:val="FirstParagraph"/>
        <w:rPr/>
      </w:pPr>
      <w:bookmarkStart w:id="469" w:name="documentation-standards"/>
      <w:r>
        <w:rPr/>
        <w:t>Every module shall include its purpose, responsibilities, public interfaces, usage examples, and API documentation. Major architectural changes shall update the SRS and technical documentation.</w:t>
      </w:r>
      <w:bookmarkEnd w:id="469"/>
    </w:p>
    <w:p>
      <w:pPr>
        <w:pStyle w:val="Heading2"/>
        <w:rPr/>
      </w:pPr>
      <w:bookmarkStart w:id="470" w:name="code-quality"/>
      <w:r>
        <w:rPr>
          <w:rStyle w:val="SectionNumber"/>
        </w:rPr>
        <w:t>35.6</w:t>
      </w:r>
      <w:r>
        <w:rPr/>
        <w:tab/>
        <w:t>Code Quality</w:t>
      </w:r>
    </w:p>
    <w:p>
      <w:pPr>
        <w:pStyle w:val="FirstParagraph"/>
        <w:rPr/>
      </w:pPr>
      <w:bookmarkStart w:id="471" w:name="coding-standards-best-practices"/>
      <w:bookmarkStart w:id="472" w:name="code-quality"/>
      <w:r>
        <w:rPr/>
        <w:t>The project shall enforce static code analysis, linting, formatting, automated testing, and minimum code coverage thresholds.</w:t>
      </w:r>
      <w:bookmarkEnd w:id="471"/>
      <w:bookmarkEnd w:id="472"/>
    </w:p>
    <w:p>
      <w:pPr>
        <w:pStyle w:val="Heading1"/>
        <w:rPr/>
      </w:pPr>
      <w:bookmarkStart w:id="473" w:name="acceptance-criteria-1"/>
      <w:r>
        <w:rPr>
          <w:rStyle w:val="SectionNumber"/>
        </w:rPr>
        <w:t>36</w:t>
      </w:r>
      <w:r>
        <w:rPr/>
        <w:tab/>
        <w:t>Acceptance Criteria</w:t>
      </w:r>
    </w:p>
    <w:p>
      <w:pPr>
        <w:pStyle w:val="FirstParagraph"/>
        <w:rPr/>
      </w:pPr>
      <w:r>
        <w:rPr/>
        <w:t>This chapter defines the acceptance criteria for the Prism Earth platform. A feature shall be considered complete only when it satisfies all functional, non-functional, quality, and documentation requirements defined in this Software Requirements Specification (SRS).</w:t>
      </w:r>
    </w:p>
    <w:p>
      <w:pPr>
        <w:pStyle w:val="Heading2"/>
        <w:rPr/>
      </w:pPr>
      <w:bookmarkStart w:id="474" w:name="functional-acceptance-criteria"/>
      <w:r>
        <w:rPr>
          <w:rStyle w:val="SectionNumber"/>
        </w:rPr>
        <w:t>36.1</w:t>
      </w:r>
      <w:r>
        <w:rPr/>
        <w:tab/>
        <w:t>Functional Acceptance Criteria</w:t>
      </w:r>
    </w:p>
    <w:p>
      <w:pPr>
        <w:pStyle w:val="FirstParagraph"/>
        <w:rPr/>
      </w:pPr>
      <w:bookmarkStart w:id="475" w:name="functional-acceptance-criteria"/>
      <w:r>
        <w:rPr/>
        <w:t>The platform shall successfully process latitude and longitude inputs, answer natural language geospatial queries, execute the Planner → Fetch → Citation → Synthesizer pipeline, retrieve deterministic geospatial information, display provenance for every returned field, generate citations for all synthesized responses, support all Version 1 APIs, and support the pilot-region datasets.</w:t>
      </w:r>
      <w:bookmarkEnd w:id="475"/>
    </w:p>
    <w:p>
      <w:pPr>
        <w:pStyle w:val="Heading2"/>
        <w:rPr/>
      </w:pPr>
      <w:bookmarkStart w:id="476" w:name="technical-acceptance-criteria"/>
      <w:r>
        <w:rPr>
          <w:rStyle w:val="SectionNumber"/>
        </w:rPr>
        <w:t>36.2</w:t>
      </w:r>
      <w:r>
        <w:rPr/>
        <w:tab/>
        <w:t>Technical Acceptance Criteria</w:t>
      </w:r>
    </w:p>
    <w:p>
      <w:pPr>
        <w:pStyle w:val="FirstParagraph"/>
        <w:rPr/>
      </w:pPr>
      <w:bookmarkStart w:id="477" w:name="technical-acceptance-criteria"/>
      <w:r>
        <w:rPr/>
        <w:t>The platform shall build without compilation errors, pass all automated tests, generate valid OpenAPI documentation, support Docker deployment, execute within acceptable performance limits, and handle partial failures correctly.</w:t>
      </w:r>
      <w:bookmarkEnd w:id="477"/>
    </w:p>
    <w:p>
      <w:pPr>
        <w:pStyle w:val="Heading2"/>
        <w:rPr/>
      </w:pPr>
      <w:bookmarkStart w:id="478" w:name="quality-acceptance-criteria"/>
      <w:r>
        <w:rPr>
          <w:rStyle w:val="SectionNumber"/>
        </w:rPr>
        <w:t>36.3</w:t>
      </w:r>
      <w:r>
        <w:rPr/>
        <w:tab/>
        <w:t>Quality Acceptance Criteria</w:t>
      </w:r>
    </w:p>
    <w:p>
      <w:pPr>
        <w:pStyle w:val="FirstParagraph"/>
        <w:rPr/>
      </w:pPr>
      <w:bookmarkStart w:id="479" w:name="quality-acceptance-criteria"/>
      <w:r>
        <w:rPr/>
        <w:t>The system shall follow Clean Architecture and SOLID principles, pass code review, maintain code documentation, meet code coverage requirements, and produce structured logs.</w:t>
      </w:r>
      <w:bookmarkEnd w:id="479"/>
    </w:p>
    <w:p>
      <w:pPr>
        <w:pStyle w:val="Heading2"/>
        <w:rPr/>
      </w:pPr>
      <w:bookmarkStart w:id="480" w:name="documentation-acceptance-criteria"/>
      <w:r>
        <w:rPr>
          <w:rStyle w:val="SectionNumber"/>
        </w:rPr>
        <w:t>36.4</w:t>
      </w:r>
      <w:r>
        <w:rPr/>
        <w:tab/>
        <w:t>Documentation Acceptance Criteria</w:t>
      </w:r>
    </w:p>
    <w:p>
      <w:pPr>
        <w:pStyle w:val="FirstParagraph"/>
        <w:rPr/>
      </w:pPr>
      <w:bookmarkStart w:id="481" w:name="documentation-acceptance-criteria"/>
      <w:r>
        <w:rPr/>
        <w:t>The project shall include the Software Requirements Specification (SRS), API documentation, deployment guide, developer guide, architecture documentation, and dataset documentation.</w:t>
      </w:r>
      <w:bookmarkEnd w:id="481"/>
    </w:p>
    <w:p>
      <w:pPr>
        <w:pStyle w:val="Heading2"/>
        <w:rPr/>
      </w:pPr>
      <w:bookmarkStart w:id="482" w:name="release-approval"/>
      <w:r>
        <w:rPr>
          <w:rStyle w:val="SectionNumber"/>
        </w:rPr>
        <w:t>36.5</w:t>
      </w:r>
      <w:r>
        <w:rPr/>
        <w:tab/>
        <w:t>Release Approval</w:t>
      </w:r>
    </w:p>
    <w:p>
      <w:pPr>
        <w:pStyle w:val="FirstParagraph"/>
        <w:rPr/>
      </w:pPr>
      <w:bookmarkStart w:id="483" w:name="acceptance-criteria-1"/>
      <w:bookmarkStart w:id="484" w:name="release-approval"/>
      <w:r>
        <w:rPr/>
        <w:t>Version 1 shall be approved for production only after all acceptance criteria are satisfied, critical defects are resolved, performance benchmarks are met, and security validation is completed.</w:t>
      </w:r>
      <w:bookmarkEnd w:id="483"/>
      <w:bookmarkEnd w:id="484"/>
    </w:p>
    <w:p>
      <w:pPr>
        <w:pStyle w:val="Heading1"/>
        <w:rPr/>
      </w:pPr>
      <w:bookmarkStart w:id="485" w:name="future-roadmap"/>
      <w:r>
        <w:rPr>
          <w:rStyle w:val="SectionNumber"/>
        </w:rPr>
        <w:t>37</w:t>
      </w:r>
      <w:r>
        <w:rPr/>
        <w:tab/>
        <w:t>Future Roadmap</w:t>
      </w:r>
    </w:p>
    <w:p>
      <w:pPr>
        <w:pStyle w:val="FirstParagraph"/>
        <w:rPr/>
      </w:pPr>
      <w:r>
        <w:rPr/>
        <w:t>The Prism Earth platform is designed as a long-term geospatial intelligence platform. The roadmap outlines planned enhancements beyond the pilot release.</w:t>
      </w:r>
    </w:p>
    <w:p>
      <w:pPr>
        <w:pStyle w:val="Heading2"/>
        <w:rPr/>
      </w:pPr>
      <w:bookmarkStart w:id="486" w:name="version-1.0"/>
      <w:r>
        <w:rPr>
          <w:rStyle w:val="SectionNumber"/>
        </w:rPr>
        <w:t>37.1</w:t>
      </w:r>
      <w:r>
        <w:rPr/>
        <w:tab/>
        <w:t>Version 1.0</w:t>
      </w:r>
    </w:p>
    <w:p>
      <w:pPr>
        <w:pStyle w:val="FirstParagraph"/>
        <w:rPr/>
      </w:pPr>
      <w:r>
        <w:rPr/>
        <w:t xml:space="preserve">Scope: the pilot region (see the </w:t>
      </w:r>
      <w:r>
        <w:rPr>
          <w:i/>
          <w:iCs/>
        </w:rPr>
        <w:t>Telangana MVP</w:t>
      </w:r>
      <w:r>
        <w:rPr/>
        <w:t xml:space="preserve"> chapter), the active metadata catalog, REST APIs, Planner, Fetch Engine, Citation Engine, and Provenance System.</w:t>
      </w:r>
      <w:bookmarkEnd w:id="486"/>
    </w:p>
    <w:p>
      <w:pPr>
        <w:pStyle w:val="Heading2"/>
        <w:rPr/>
      </w:pPr>
      <w:bookmarkStart w:id="487" w:name="version-2.0"/>
      <w:r>
        <w:rPr>
          <w:rStyle w:val="SectionNumber"/>
        </w:rPr>
        <w:t>37.2</w:t>
      </w:r>
      <w:r>
        <w:rPr/>
        <w:tab/>
        <w:t>Version 2.0</w:t>
      </w:r>
    </w:p>
    <w:p>
      <w:pPr>
        <w:pStyle w:val="FirstParagraph"/>
        <w:rPr/>
      </w:pPr>
      <w:bookmarkStart w:id="488" w:name="version-2.0"/>
      <w:r>
        <w:rPr/>
        <w:t>Planned enhancements: Andhra Pradesh, Karnataka, advanced climate analytics, agricultural intelligence, and improved administrative layers.</w:t>
      </w:r>
      <w:bookmarkEnd w:id="488"/>
    </w:p>
    <w:p>
      <w:pPr>
        <w:pStyle w:val="Heading2"/>
        <w:rPr/>
      </w:pPr>
      <w:bookmarkStart w:id="489" w:name="version-3.0"/>
      <w:r>
        <w:rPr>
          <w:rStyle w:val="SectionNumber"/>
        </w:rPr>
        <w:t>37.3</w:t>
      </w:r>
      <w:r>
        <w:rPr/>
        <w:tab/>
        <w:t>Version 3.0</w:t>
      </w:r>
    </w:p>
    <w:p>
      <w:pPr>
        <w:pStyle w:val="FirstParagraph"/>
        <w:rPr/>
      </w:pPr>
      <w:bookmarkStart w:id="490" w:name="version-3.0"/>
      <w:r>
        <w:rPr/>
        <w:t>Planned enhancements: South India coverage, renewable energy assessment, infrastructure planning, utility network analysis, and batch processing APIs.</w:t>
      </w:r>
      <w:bookmarkEnd w:id="490"/>
    </w:p>
    <w:p>
      <w:pPr>
        <w:pStyle w:val="Heading2"/>
        <w:rPr/>
      </w:pPr>
      <w:bookmarkStart w:id="491" w:name="version-4.0"/>
      <w:r>
        <w:rPr>
          <w:rStyle w:val="SectionNumber"/>
        </w:rPr>
        <w:t>37.4</w:t>
      </w:r>
      <w:r>
        <w:rPr/>
        <w:tab/>
        <w:t>Version 4.0</w:t>
      </w:r>
    </w:p>
    <w:p>
      <w:pPr>
        <w:pStyle w:val="FirstParagraph"/>
        <w:rPr/>
      </w:pPr>
      <w:bookmarkStart w:id="492" w:name="version-4.0"/>
      <w:r>
        <w:rPr/>
        <w:t>Planned enhancements: nationwide coverage, commercial APIs, enterprise dashboard, AI workflow automation, and streaming geospatial analytics.</w:t>
      </w:r>
      <w:bookmarkEnd w:id="492"/>
    </w:p>
    <w:p>
      <w:pPr>
        <w:pStyle w:val="Heading2"/>
        <w:rPr/>
      </w:pPr>
      <w:bookmarkStart w:id="493" w:name="long-term-vision-2"/>
      <w:r>
        <w:rPr>
          <w:rStyle w:val="SectionNumber"/>
        </w:rPr>
        <w:t>37.5</w:t>
      </w:r>
      <w:r>
        <w:rPr/>
        <w:tab/>
        <w:t>Long-Term Vision</w:t>
      </w:r>
    </w:p>
    <w:p>
      <w:pPr>
        <w:pStyle w:val="FirstParagraph"/>
        <w:rPr/>
      </w:pPr>
      <w:bookmarkStart w:id="494" w:name="future-roadmap"/>
      <w:bookmarkStart w:id="495" w:name="long-term-vision-2"/>
      <w:r>
        <w:rPr/>
        <w:t>Prism Earth shall evolve into a nationwide geospatial intelligence platform serving government, insurance, banking, agriculture, infrastructure, energy, research, and AI systems.</w:t>
      </w:r>
      <w:bookmarkEnd w:id="494"/>
      <w:bookmarkEnd w:id="495"/>
    </w:p>
    <w:p>
      <w:pPr>
        <w:pStyle w:val="Heading1"/>
        <w:rPr/>
      </w:pPr>
      <w:bookmarkStart w:id="496" w:name="ai-development-rules"/>
      <w:r>
        <w:rPr>
          <w:rStyle w:val="SectionNumber"/>
        </w:rPr>
        <w:t>38</w:t>
      </w:r>
      <w:r>
        <w:rPr/>
        <w:tab/>
        <w:t>AI Development Rules</w:t>
      </w:r>
    </w:p>
    <w:p>
      <w:pPr>
        <w:pStyle w:val="FirstParagraph"/>
        <w:rPr/>
      </w:pPr>
      <w:r>
        <w:rPr/>
        <w:t>This chapter defines mandatory engineering rules for any AI coding agent contributing to the Prism Earth codebase. These rules ensure consistency, maintainability, and prevention of hallucinated implementations.</w:t>
      </w:r>
    </w:p>
    <w:p>
      <w:pPr>
        <w:pStyle w:val="Heading2"/>
        <w:rPr/>
      </w:pPr>
      <w:bookmarkStart w:id="497" w:name="general-rules"/>
      <w:r>
        <w:rPr>
          <w:rStyle w:val="SectionNumber"/>
        </w:rPr>
        <w:t>38.1</w:t>
      </w:r>
      <w:r>
        <w:rPr/>
        <w:tab/>
        <w:t>General Rules</w:t>
      </w:r>
    </w:p>
    <w:p>
      <w:pPr>
        <w:pStyle w:val="FirstParagraph"/>
        <w:rPr/>
      </w:pPr>
      <w:bookmarkStart w:id="498" w:name="general-rules"/>
      <w:r>
        <w:rPr/>
        <w:t>The AI agent shall follow this SRS; never invent APIs, datasets, or citations; never hardcode business logic; prefer modular implementations; write production-ready code; and preserve backward compatibility.</w:t>
      </w:r>
      <w:bookmarkEnd w:id="498"/>
    </w:p>
    <w:p>
      <w:pPr>
        <w:pStyle w:val="Heading2"/>
        <w:rPr/>
      </w:pPr>
      <w:bookmarkStart w:id="499" w:name="metadata-rules"/>
      <w:r>
        <w:rPr>
          <w:rStyle w:val="SectionNumber"/>
        </w:rPr>
        <w:t>38.2</w:t>
      </w:r>
      <w:r>
        <w:rPr/>
        <w:tab/>
        <w:t>Metadata Rules</w:t>
      </w:r>
    </w:p>
    <w:p>
      <w:pPr>
        <w:pStyle w:val="FirstParagraph"/>
        <w:rPr/>
      </w:pPr>
      <w:r>
        <w:rPr/>
        <w:t>The AI agent shall use the metadata catalog as the single source of truth, never introduce undocumented fields, respect field lifecycle (</w:t>
      </w:r>
      <w:r>
        <w:rPr>
          <w:rStyle w:val="VerbatimChar"/>
        </w:rPr>
        <w:t>stable</w:t>
      </w:r>
      <w:r>
        <w:rPr/>
        <w:t xml:space="preserve">, </w:t>
      </w:r>
      <w:r>
        <w:rPr>
          <w:rStyle w:val="VerbatimChar"/>
        </w:rPr>
        <w:t>beta</w:t>
      </w:r>
      <w:r>
        <w:rPr/>
        <w:t xml:space="preserve">, </w:t>
      </w:r>
      <w:r>
        <w:rPr>
          <w:rStyle w:val="VerbatimChar"/>
        </w:rPr>
        <w:t>planned</w:t>
      </w:r>
      <w:r>
        <w:rPr/>
        <w:t>), respect availability constraints, and preserve dataset ownership.</w:t>
      </w:r>
      <w:bookmarkEnd w:id="499"/>
    </w:p>
    <w:p>
      <w:pPr>
        <w:pStyle w:val="Heading2"/>
        <w:rPr/>
      </w:pPr>
      <w:bookmarkStart w:id="500" w:name="planner-rules"/>
      <w:r>
        <w:rPr>
          <w:rStyle w:val="SectionNumber"/>
        </w:rPr>
        <w:t>38.3</w:t>
      </w:r>
      <w:r>
        <w:rPr/>
        <w:tab/>
        <w:t>Planner Rules</w:t>
      </w:r>
    </w:p>
    <w:p>
      <w:pPr>
        <w:pStyle w:val="FirstParagraph"/>
        <w:rPr/>
      </w:pPr>
      <w:bookmarkStart w:id="501" w:name="planner-rules"/>
      <w:r>
        <w:rPr/>
        <w:t>The Planner shall only select registered fields, never retrieve data, never answer user questions, never generate citations, and produce deterministic execution plans.</w:t>
      </w:r>
      <w:bookmarkEnd w:id="501"/>
    </w:p>
    <w:p>
      <w:pPr>
        <w:pStyle w:val="Heading2"/>
        <w:rPr/>
      </w:pPr>
      <w:bookmarkStart w:id="502" w:name="fetch-engine-rules"/>
      <w:r>
        <w:rPr>
          <w:rStyle w:val="SectionNumber"/>
        </w:rPr>
        <w:t>38.4</w:t>
      </w:r>
      <w:r>
        <w:rPr/>
        <w:tab/>
        <w:t>Fetch Engine Rules</w:t>
      </w:r>
    </w:p>
    <w:p>
      <w:pPr>
        <w:pStyle w:val="FirstParagraph"/>
        <w:rPr/>
      </w:pPr>
      <w:bookmarkStart w:id="503" w:name="fetch-engine-rules"/>
      <w:r>
        <w:rPr/>
        <w:t>The Fetch Engine shall execute only registered connectors, never use AI, never modify retrieved values, handle partial failures gracefully, and return standardized field objects.</w:t>
      </w:r>
      <w:bookmarkEnd w:id="503"/>
    </w:p>
    <w:p>
      <w:pPr>
        <w:pStyle w:val="Heading2"/>
        <w:rPr/>
      </w:pPr>
      <w:bookmarkStart w:id="504" w:name="frontend-rules"/>
      <w:r>
        <w:rPr>
          <w:rStyle w:val="SectionNumber"/>
        </w:rPr>
        <w:t>38.5</w:t>
      </w:r>
      <w:r>
        <w:rPr/>
        <w:tab/>
        <w:t>Frontend Rules</w:t>
      </w:r>
    </w:p>
    <w:p>
      <w:pPr>
        <w:pStyle w:val="FirstParagraph"/>
        <w:rPr/>
      </w:pPr>
      <w:bookmarkStart w:id="505" w:name="frontend-rules"/>
      <w:r>
        <w:rPr/>
        <w:t>The frontend shall consume only public REST APIs, contain no business logic, display provenance and citations, support responsive design, and maintain accessibility compliance.</w:t>
      </w:r>
      <w:bookmarkEnd w:id="505"/>
    </w:p>
    <w:p>
      <w:pPr>
        <w:pStyle w:val="Heading2"/>
        <w:rPr/>
      </w:pPr>
      <w:bookmarkStart w:id="506" w:name="code-quality-rules"/>
      <w:r>
        <w:rPr>
          <w:rStyle w:val="SectionNumber"/>
        </w:rPr>
        <w:t>38.6</w:t>
      </w:r>
      <w:r>
        <w:rPr/>
        <w:tab/>
        <w:t>Code Quality Rules</w:t>
      </w:r>
    </w:p>
    <w:p>
      <w:pPr>
        <w:pStyle w:val="FirstParagraph"/>
        <w:rPr/>
      </w:pPr>
      <w:bookmarkStart w:id="507" w:name="code-quality-rules"/>
      <w:r>
        <w:rPr/>
        <w:t>Every contribution shall include tests and documentation, follow naming conventions and repository structure, pass CI/CD validation, and maintain backward compatibility.</w:t>
      </w:r>
      <w:bookmarkEnd w:id="507"/>
    </w:p>
    <w:p>
      <w:pPr>
        <w:pStyle w:val="Heading2"/>
        <w:rPr/>
      </w:pPr>
      <w:bookmarkStart w:id="508" w:name="documentation-rules"/>
      <w:r>
        <w:rPr>
          <w:rStyle w:val="SectionNumber"/>
        </w:rPr>
        <w:t>38.7</w:t>
      </w:r>
      <w:r>
        <w:rPr/>
        <w:tab/>
        <w:t>Documentation Rules</w:t>
      </w:r>
    </w:p>
    <w:p>
      <w:pPr>
        <w:pStyle w:val="FirstParagraph"/>
        <w:rPr/>
      </w:pPr>
      <w:bookmarkStart w:id="509" w:name="documentation-rules"/>
      <w:r>
        <w:rPr/>
        <w:t>Whenever new functionality is added, the AI agent shall update the metadata catalog, API documentation, the SRS (if architecture changes), developer documentation, and deployment documentation.</w:t>
      </w:r>
      <w:bookmarkEnd w:id="509"/>
    </w:p>
    <w:p>
      <w:pPr>
        <w:pStyle w:val="Heading2"/>
        <w:rPr/>
      </w:pPr>
      <w:bookmarkStart w:id="510" w:name="anti-hallucination-policy"/>
      <w:r>
        <w:rPr>
          <w:rStyle w:val="SectionNumber"/>
        </w:rPr>
        <w:t>38.8</w:t>
      </w:r>
      <w:r>
        <w:rPr/>
        <w:tab/>
        <w:t>Anti-Hallucination Policy</w:t>
      </w:r>
    </w:p>
    <w:p>
      <w:pPr>
        <w:pStyle w:val="FirstParagraph"/>
        <w:rPr/>
      </w:pPr>
      <w:bookmarkStart w:id="511" w:name="ai-development-rules"/>
      <w:bookmarkStart w:id="512" w:name="anti-hallucination-policy"/>
      <w:r>
        <w:rPr/>
        <w:t>The AI agent shall never assume dataset availability, create unsupported APIs, generate fictional metadata, invent configuration files, reference undocumented connectors, or introduce hidden dependencies. When information is unavailable, the AI agent shall explicitly state the limitation rather than guessing.</w:t>
      </w:r>
      <w:bookmarkEnd w:id="511"/>
      <w:bookmarkEnd w:id="512"/>
    </w:p>
    <w:p>
      <w:pPr>
        <w:pStyle w:val="Heading1"/>
        <w:rPr/>
      </w:pPr>
      <w:bookmarkStart w:id="513" w:name="release-management"/>
      <w:r>
        <w:rPr>
          <w:rStyle w:val="SectionNumber"/>
        </w:rPr>
        <w:t>39</w:t>
      </w:r>
      <w:r>
        <w:rPr/>
        <w:tab/>
        <w:t>Release Management</w:t>
      </w:r>
    </w:p>
    <w:p>
      <w:pPr>
        <w:pStyle w:val="FirstParagraph"/>
        <w:rPr/>
      </w:pPr>
      <w:r>
        <w:rPr/>
        <w:t>The platform shall follow semantic versioning and structured release management to ensure stable deployments and backward compatibility.</w:t>
      </w:r>
    </w:p>
    <w:p>
      <w:pPr>
        <w:pStyle w:val="Heading2"/>
        <w:rPr/>
      </w:pPr>
      <w:bookmarkStart w:id="514" w:name="versioning"/>
      <w:r>
        <w:rPr>
          <w:rStyle w:val="SectionNumber"/>
        </w:rPr>
        <w:t>39.1</w:t>
      </w:r>
      <w:r>
        <w:rPr/>
        <w:tab/>
        <w:t>Versioning</w:t>
      </w:r>
    </w:p>
    <w:p>
      <w:pPr>
        <w:pStyle w:val="FirstParagraph"/>
        <w:rPr/>
      </w:pPr>
      <w:r>
        <w:rPr/>
        <w:t xml:space="preserve">The project shall use </w:t>
      </w:r>
      <w:r>
        <w:rPr>
          <w:rStyle w:val="VerbatimChar"/>
        </w:rPr>
        <w:t>MAJOR.MINOR.PATCH</w:t>
      </w:r>
      <w:r>
        <w:rPr/>
        <w:t xml:space="preserve"> versioning (for example, </w:t>
      </w:r>
      <w:r>
        <w:rPr>
          <w:rStyle w:val="VerbatimChar"/>
        </w:rPr>
        <w:t>1.0.0</w:t>
      </w:r>
      <w:r>
        <w:rPr/>
        <w:t>).</w:t>
      </w:r>
      <w:bookmarkEnd w:id="514"/>
    </w:p>
    <w:p>
      <w:pPr>
        <w:pStyle w:val="Heading2"/>
        <w:rPr/>
      </w:pPr>
      <w:r>
        <w:rPr>
          <w:rStyle w:val="SectionNumber"/>
        </w:rPr>
        <w:t>39.2</w:t>
      </w:r>
      <w:r>
        <w:rPr/>
        <w:tab/>
        <w:t>Release Types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Release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platform capabilities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features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Bug fixes and improvements</w:t>
            </w:r>
            <w:bookmarkStart w:id="515" w:name="release-types"/>
            <w:bookmarkEnd w:id="515"/>
          </w:p>
        </w:tc>
      </w:tr>
    </w:tbl>
    <w:p>
      <w:pPr>
        <w:pStyle w:val="Heading2"/>
        <w:rPr/>
      </w:pPr>
      <w:r>
        <w:rPr>
          <w:rStyle w:val="SectionNumber"/>
        </w:rPr>
        <w:t>39.3</w:t>
      </w:r>
      <w:r>
        <w:rPr/>
        <w:tab/>
        <w:t>Release Process</w:t>
      </w:r>
    </w:p>
    <w:p>
      <w:pPr>
        <w:pStyle w:val="FirstParagraph"/>
        <w:rPr/>
      </w:pPr>
      <w:r>
        <w:rPr/>
        <w:t>Each release shall include feature freeze, code review, automated testing, security validation, documentation update, and deployment approval.</w:t>
      </w:r>
    </w:p>
    <w:p>
      <w:pPr>
        <w:pStyle w:val="Heading2"/>
        <w:rPr/>
      </w:pPr>
      <w:bookmarkStart w:id="516" w:name="changelog"/>
      <w:r>
        <w:rPr>
          <w:rStyle w:val="SectionNumber"/>
        </w:rPr>
        <w:t>39.4</w:t>
      </w:r>
      <w:r>
        <w:rPr/>
        <w:tab/>
        <w:t>Changelog</w:t>
      </w:r>
    </w:p>
    <w:p>
      <w:pPr>
        <w:pStyle w:val="FirstParagraph"/>
        <w:rPr/>
      </w:pPr>
      <w:bookmarkStart w:id="517" w:name="release-management"/>
      <w:bookmarkStart w:id="518" w:name="changelog"/>
      <w:r>
        <w:rPr/>
        <w:t>Every release shall maintain a changelog documenting new features, improvements, bug fixes, breaking changes, and dataset updates.</w:t>
      </w:r>
      <w:bookmarkEnd w:id="517"/>
      <w:bookmarkEnd w:id="518"/>
    </w:p>
    <w:p>
      <w:pPr>
        <w:pStyle w:val="Heading1"/>
        <w:rPr/>
      </w:pPr>
      <w:bookmarkStart w:id="519" w:name="appendices"/>
      <w:r>
        <w:rPr>
          <w:rStyle w:val="SectionNumber"/>
        </w:rPr>
        <w:t>40</w:t>
      </w:r>
      <w:r>
        <w:rPr/>
        <w:tab/>
        <w:t>Appendices</w:t>
      </w:r>
    </w:p>
    <w:p>
      <w:pPr>
        <w:pStyle w:val="Heading2"/>
        <w:rPr/>
      </w:pPr>
      <w:r>
        <w:rPr>
          <w:rStyle w:val="SectionNumber"/>
        </w:rPr>
        <w:t>40.1</w:t>
      </w:r>
      <w:r>
        <w:rPr/>
        <w:tab/>
        <w:t>Glossary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Planner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component that selects required fields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Fetch Engine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data retrieval engine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Metadata Catalog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Registry of supported fields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Provenance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lineage information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Citation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to source datasets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Connector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integration module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Predefined field bundle</w:t>
            </w:r>
            <w:bookmarkStart w:id="520" w:name="glossary"/>
            <w:bookmarkEnd w:id="520"/>
          </w:p>
        </w:tc>
      </w:tr>
    </w:tbl>
    <w:p>
      <w:pPr>
        <w:pStyle w:val="Heading2"/>
        <w:rPr/>
      </w:pPr>
      <w:r>
        <w:rPr>
          <w:rStyle w:val="SectionNumber"/>
        </w:rPr>
        <w:t>40.2</w:t>
      </w:r>
      <w:r>
        <w:rPr/>
        <w:tab/>
        <w:t>Acronyms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Acronym</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Programming Interface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Artificial Intelligence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Geographic Information System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Google Earth Engine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DEM</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Digital Elevation Model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NDVI</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Normalized Difference Vegetation Index</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Coordinate Reference System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To Live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MCP</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Context Protocol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SRS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Requirements Specification</w:t>
            </w:r>
          </w:p>
        </w:tc>
      </w:tr>
    </w:tbl>
    <w:p>
      <w:pPr>
        <w:pStyle w:val="Heading2"/>
        <w:rPr/>
      </w:pPr>
      <w:r>
        <w:rPr>
          <w:rStyle w:val="SectionNumber"/>
        </w:rPr>
        <w:t>40.3</w:t>
      </w:r>
      <w:r>
        <w:rPr/>
        <w:tab/>
        <w:t>References</w:t>
      </w:r>
    </w:p>
    <w:p>
      <w:pPr>
        <w:pStyle w:val="FirstParagraph"/>
        <w:rPr/>
      </w:pPr>
      <w:r>
        <w:rPr/>
        <w:t>Primary datasets and technologies include ISRO Bhuvan CartoDEM, Copernicus Sentinel-2, TerraClimate, Central Water Commission (CWC), NRSC Waterbody Database, NASA FIRMS, Survey of India Administrative Boundary Database, Google Earth Engine, PostgreSQL/PostGIS, FastAPI, Next.js, React, and Tailwind CSS.</w:t>
      </w:r>
    </w:p>
    <w:p>
      <w:pPr>
        <w:pStyle w:val="Heading2"/>
        <w:rPr/>
      </w:pPr>
      <w:r>
        <w:rPr>
          <w:rStyle w:val="SectionNumber"/>
        </w:rPr>
        <w:t>40.4</w:t>
      </w:r>
      <w:r>
        <w:rPr/>
        <w:tab/>
        <w:t>Document Revision History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Prism Earth — Telangana MVP SRS (refactored)</w:t>
            </w:r>
            <w:bookmarkStart w:id="521" w:name="document-revision-history"/>
            <w:bookmarkEnd w:id="521"/>
          </w:p>
        </w:tc>
      </w:tr>
    </w:tbl>
    <w:p>
      <w:pPr>
        <w:pStyle w:val="Heading2"/>
        <w:rPr/>
      </w:pPr>
      <w:r>
        <w:rPr>
          <w:rStyle w:val="SectionNumber"/>
        </w:rPr>
        <w:t>40.5</w:t>
      </w:r>
      <w:r>
        <w:rPr/>
        <w:tab/>
        <w:t>Conclusion</w:t>
      </w:r>
    </w:p>
    <w:p>
      <w:pPr>
        <w:pStyle w:val="FirstParagraph"/>
        <w:rPr/>
      </w:pPr>
      <w:r>
        <w:rPr/>
        <w:t>This Software Requirements Specification defines the complete functional, technical, and architectural blueprint for the Prism Earth platform. The platform is designed around five guiding principles: deterministic execution, transparency, explainability, scalability, and production readiness.</w:t>
      </w:r>
    </w:p>
    <w:p>
      <w:pPr>
        <w:pStyle w:val="BodyText"/>
        <w:spacing w:before="180" w:after="180"/>
        <w:rPr/>
      </w:pPr>
      <w:bookmarkStart w:id="522" w:name="appendices"/>
      <w:r>
        <w:rPr/>
        <w:t>By combining a metadata-driven architecture, standardized APIs, complete provenance tracking, and modular dataset connectors, Prism Earth establishes a robust foundation for delivering trustworthy geospatial intelligence across India. The Telangana MVP represents the first production release, with the architecture intentionally designed to support seamless expansion to all Indian states and future enterprise capabilities.</w:t>
      </w:r>
      <w:bookmarkEnd w:id="52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27"/>
    <w:lvlOverride w:ilvl="0">
      <w:startOverride w:val="1"/>
    </w:lvlOverride>
  </w:num>
  <w:num w:numId="199">
    <w:abstractNumId w:val="1"/>
  </w:num>
  <w:num w:numId="20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2026-06-26T18:00:18Z</dcterms:created>
  <dc:creator>Prism Earth Engineering</dc:creator>
  <dc:description/>
  <dc:language>en-US</dc:language>
  <cp:lastModifiedBy/>
  <dcterms:modified xsi:type="dcterms:W3CDTF">2026-06-26T18:00:18Z</dcterms:modified>
  <cp:revision>0</cp:revision>
  <dc:subject/>
  <dc:title>Prism Earth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Software Requirements Specification (SRS) — Version 1.0</vt:lpwstr>
  </property>
</Properties>
</file>