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b/>
        </w:rPr>
        <w:t>SEctOr — Final Phase 1 MVP</w:t>
      </w:r>
    </w:p>
    <w:p>
      <w:pPr>
        <w:jc w:val="left"/>
      </w:pPr>
      <w:r>
        <w:rPr>
          <w:i/>
          <w:sz w:val="22"/>
        </w:rPr>
        <w:t>Frozen product definition for the first market-ready release</w:t>
      </w:r>
    </w:p>
    <w:p>
      <w:r>
        <w:rPr>
          <w:b/>
        </w:rPr>
        <w:t xml:space="preserve">Product promise: </w:t>
      </w:r>
      <w:r>
        <w:t>SEctOr helps NGOs discover their digital visibility gaps, identify Google Ad Grant opportunity, prioritize fixes, and generate on-brand content to act on those findings.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2F4F7"/>
          </w:tcPr>
          <w:p>
            <w:pPr>
              <w:spacing w:after="0"/>
            </w:pPr>
            <w:r>
              <w:rPr>
                <w:b/>
                <w:sz w:val="20"/>
              </w:rPr>
              <w:t>MVP rule: Freeze this scope. No feature expansion until the product has paying users and evidence.</w:t>
            </w:r>
          </w:p>
        </w:tc>
      </w:tr>
    </w:tbl>
    <w:p>
      <w:pPr>
        <w:pStyle w:val="Heading1"/>
      </w:pPr>
      <w:r>
        <w:t>1. Product Architecture</w:t>
      </w:r>
    </w:p>
    <w:p>
      <w:pPr>
        <w:ind w:left="288" w:right="288"/>
      </w:pPr>
      <w:r>
        <w:rPr>
          <w:rFonts w:ascii="Consolas" w:hAnsi="Consolas"/>
          <w:sz w:val="17"/>
        </w:rPr>
        <w:t>FREE VISIBILITY AUDIT</w:t>
        <w:br/>
        <w:t xml:space="preserve">        ↓</w:t>
        <w:br/>
        <w:t>~15 PAGE WEIGHTED CRAWL</w:t>
        <w:br/>
        <w:t xml:space="preserve">        ↓</w:t>
        <w:br/>
        <w:t>VISIBILITY ANALYSIS</w:t>
        <w:br/>
        <w:t xml:space="preserve">        ↓</w:t>
        <w:br/>
        <w:t>SCORE + 3–5 FINDINGS</w:t>
        <w:br/>
        <w:t xml:space="preserve">        ↓</w:t>
        <w:br/>
        <w:t>CONNECT / QUALIFY / EMAIL</w:t>
        <w:br/>
        <w:t xml:space="preserve">        ↓</w:t>
        <w:br/>
        <w:t>ORGANIZATION APP</w:t>
        <w:br/>
        <w:t xml:space="preserve">   ├── Overview</w:t>
        <w:br/>
        <w:t xml:space="preserve">   ├── Visibility</w:t>
        <w:br/>
        <w:t xml:space="preserve">   ├── Actions</w:t>
        <w:br/>
        <w:t xml:space="preserve">   └── Content</w:t>
        <w:br/>
        <w:t xml:space="preserve">        ↓</w:t>
        <w:br/>
        <w:t>WEEKLY REPORT</w:t>
        <w:br/>
        <w:t xml:space="preserve">        ↓</w:t>
        <w:br/>
        <w:t>BEFORE / AFTER</w:t>
      </w:r>
    </w:p>
    <w:p>
      <w:pPr>
        <w:pStyle w:val="Heading1"/>
      </w:pPr>
      <w:r>
        <w:t>2. Product Surface</w:t>
      </w:r>
    </w:p>
    <w:p>
      <w:pPr>
        <w:pStyle w:val="ListBullet"/>
      </w:pPr>
      <w:r>
        <w:t>Public: Landing / Free Audit</w:t>
      </w:r>
    </w:p>
    <w:p>
      <w:pPr>
        <w:pStyle w:val="ListBullet"/>
      </w:pPr>
      <w:r>
        <w:t>Public: Audit Result</w:t>
      </w:r>
    </w:p>
    <w:p>
      <w:pPr>
        <w:pStyle w:val="ListBullet"/>
      </w:pPr>
      <w:r>
        <w:t>Authenticated: Overview</w:t>
      </w:r>
    </w:p>
    <w:p>
      <w:pPr>
        <w:pStyle w:val="ListBullet"/>
      </w:pPr>
      <w:r>
        <w:t>Authenticated: Visibility</w:t>
      </w:r>
    </w:p>
    <w:p>
      <w:pPr>
        <w:pStyle w:val="ListBullet"/>
      </w:pPr>
      <w:r>
        <w:t>Authenticated: Actions</w:t>
      </w:r>
    </w:p>
    <w:p>
      <w:pPr>
        <w:pStyle w:val="ListBullet"/>
      </w:pPr>
      <w:r>
        <w:t>Authenticated: Content</w:t>
      </w:r>
    </w:p>
    <w:p>
      <w:pPr>
        <w:pStyle w:val="ListBullet"/>
      </w:pPr>
      <w:r>
        <w:t>Small Settings area</w:t>
      </w:r>
    </w:p>
    <w:p>
      <w:r>
        <w:rPr>
          <w:b/>
        </w:rPr>
        <w:t xml:space="preserve">Not included: </w:t>
      </w:r>
      <w:r>
        <w:t>CRM, donor database, fundraising, funder/investor matching, social scheduling, Canva, video, pitch decks, mobile app, autonomous Ad Grant changes, marketplace, social-enterprise track, or a generic AI chat interface.</w:t>
      </w:r>
    </w:p>
    <w:p>
      <w:pPr>
        <w:pStyle w:val="Heading1"/>
      </w:pPr>
      <w:r>
        <w:t>3. Free Visibility Audit</w:t>
      </w:r>
    </w:p>
    <w:p>
      <w:r>
        <w:rPr>
          <w:b/>
        </w:rPr>
        <w:t xml:space="preserve">Purpose: </w:t>
      </w:r>
      <w:r>
        <w:t>Acquisition.</w:t>
      </w:r>
    </w:p>
    <w:p>
      <w:pPr>
        <w:pStyle w:val="ListBullet"/>
      </w:pPr>
      <w:r>
        <w:t>User enters a website URL.</w:t>
      </w:r>
    </w:p>
    <w:p>
      <w:pPr>
        <w:pStyle w:val="ListBullet"/>
      </w:pPr>
      <w:r>
        <w:t>No account, password, FCRA information, Google Ads connection, or payment is required before value is shown.</w:t>
      </w:r>
    </w:p>
    <w:p>
      <w:pPr>
        <w:pStyle w:val="ListBullet"/>
      </w:pPr>
      <w:r>
        <w:t>Run a weighted crawl of approximately 15 pages.</w:t>
      </w:r>
    </w:p>
    <w:p>
      <w:pPr>
        <w:pStyle w:val="ListBullet"/>
      </w:pPr>
      <w:r>
        <w:t>Show a Visibility Conformance score and 3–5 highest-impact findings.</w:t>
      </w:r>
    </w:p>
    <w:p>
      <w:pPr>
        <w:pStyle w:val="ListBullet"/>
      </w:pPr>
      <w:r>
        <w:t>Provide three conversion paths: Continue/Connect, Qualify, and Email Me the Report.</w:t>
      </w:r>
    </w:p>
    <w:p>
      <w:pPr>
        <w:pStyle w:val="Heading1"/>
      </w:pPr>
      <w:r>
        <w:t>4. Crawl Engine</w:t>
      </w:r>
    </w:p>
    <w:p>
      <w:r>
        <w:rPr>
          <w:b/>
        </w:rPr>
        <w:t xml:space="preserve">Initial implementation: </w:t>
      </w:r>
      <w:r>
        <w:t>Cheerio/server-side HTML parsing. Add Playwright only if real NGO sites demonstrate that client-rendered pages are systematically missed.</w:t>
      </w:r>
    </w:p>
    <w:p>
      <w:pPr>
        <w:pStyle w:val="ListBullet"/>
      </w:pPr>
      <w:r>
        <w:t>Homepage ×3</w:t>
      </w:r>
    </w:p>
    <w:p>
      <w:pPr>
        <w:pStyle w:val="ListBullet"/>
      </w:pPr>
      <w:r>
        <w:t>Primary navigation pages ×2</w:t>
      </w:r>
    </w:p>
    <w:p>
      <w:pPr>
        <w:pStyle w:val="ListBullet"/>
      </w:pPr>
      <w:r>
        <w:t>Other discovered pages ×1</w:t>
      </w:r>
    </w:p>
    <w:p>
      <w:pPr>
        <w:pStyle w:val="ListBullet"/>
      </w:pPr>
      <w:r>
        <w:t>Target approximately 15 pages</w:t>
      </w:r>
    </w:p>
    <w:p>
      <w:r>
        <w:rPr>
          <w:b/>
        </w:rPr>
        <w:t xml:space="preserve">Evidence collected: </w:t>
      </w:r>
      <w:r>
        <w:t>URL, title, meta description, H1/H2 structure, content signals, schema, FAQ, canonical, robots directives, freshness indicators, internal links, organization/entity signals, and crawler accessibility.</w:t>
      </w:r>
    </w:p>
    <w:p>
      <w:pPr>
        <w:pStyle w:val="Heading1"/>
      </w:pPr>
      <w:r>
        <w:t>5. Deterministic Scoring Engine</w:t>
      </w:r>
    </w:p>
    <w:p>
      <w:pPr>
        <w:ind w:left="288" w:right="288"/>
      </w:pPr>
      <w:r>
        <w:rPr>
          <w:rFonts w:ascii="Consolas" w:hAnsi="Consolas"/>
          <w:sz w:val="17"/>
        </w:rPr>
        <w:t>website</w:t>
        <w:br/>
        <w:t xml:space="preserve">  ↓</w:t>
        <w:br/>
        <w:t>evidence</w:t>
        <w:br/>
        <w:t xml:space="preserve">  ↓</w:t>
        <w:br/>
        <w:t>deterministic rules</w:t>
        <w:br/>
        <w:t xml:space="preserve">  ↓</w:t>
        <w:br/>
        <w:t>weighted score</w:t>
        <w:br/>
        <w:t xml:space="preserve">  ↓</w:t>
        <w:br/>
        <w:t>findings</w:t>
        <w:br/>
        <w:t xml:space="preserve">  ↓</w:t>
        <w:br/>
        <w:t>LLM explanation</w:t>
      </w:r>
    </w:p>
    <w:p>
      <w:r>
        <w:rPr>
          <w:b/>
        </w:rPr>
        <w:t xml:space="preserve">Rule: </w:t>
      </w:r>
      <w:r>
        <w:t>The LLM never determines the underlying score. It explains evidence and generates recommendations.</w:t>
      </w:r>
    </w:p>
    <w:p>
      <w:pPr>
        <w:pStyle w:val="Heading1"/>
      </w:pPr>
      <w:r>
        <w:t>6. Visibility Conformance</w:t>
      </w:r>
    </w:p>
    <w:p>
      <w:r>
        <w:rPr>
          <w:b/>
        </w:rPr>
        <w:t xml:space="preserve">Definition: </w:t>
      </w:r>
      <w:r>
        <w:t>Visibility Conformance measures how well a website follows SEctOr's published SEO/GEO discoverability checklist.</w:t>
      </w:r>
    </w:p>
    <w:p>
      <w:pPr>
        <w:pStyle w:val="ListBullet"/>
      </w:pPr>
      <w:r>
        <w:t>Do not claim that the score predicts ChatGPT or other AI recommendations.</w:t>
      </w:r>
    </w:p>
    <w:p>
      <w:pPr>
        <w:pStyle w:val="ListBullet"/>
      </w:pPr>
      <w:r>
        <w:t>Measure structured data, FAQ coverage, entity clarity, content freshness, crawler accessibility, citability, and page structure.</w:t>
      </w:r>
    </w:p>
    <w:p>
      <w:pPr>
        <w:pStyle w:val="ListBullet"/>
      </w:pPr>
      <w:r>
        <w:t>Later, actual AI-answer presence can be represented separately through sampled query evidence.</w:t>
      </w:r>
    </w:p>
    <w:p>
      <w:pPr>
        <w:pStyle w:val="Heading1"/>
      </w:pPr>
      <w:r>
        <w:t>7. Audit Result</w:t>
      </w:r>
    </w:p>
    <w:p>
      <w:pPr>
        <w:ind w:left="288" w:right="288"/>
      </w:pPr>
      <w:r>
        <w:rPr>
          <w:rFonts w:ascii="Consolas" w:hAnsi="Consolas"/>
          <w:sz w:val="17"/>
        </w:rPr>
        <w:t>ABC Foundation</w:t>
        <w:br/>
        <w:br/>
        <w:t>67 / 100</w:t>
        <w:br/>
        <w:t>Visibility Conformance</w:t>
        <w:br/>
        <w:br/>
        <w:t>Top findings</w:t>
        <w:br/>
        <w:br/>
        <w:t>01  FAQ structure          HIGH IMPACT</w:t>
        <w:br/>
        <w:t>02  Organization schema    HIGH IMPACT</w:t>
        <w:br/>
        <w:t>03  Content freshness      MEDIUM</w:t>
        <w:br/>
        <w:t>04  Heading hierarchy      MEDIUM</w:t>
        <w:br/>
        <w:t>05  AI crawler access      MEDIUM</w:t>
      </w:r>
    </w:p>
    <w:p>
      <w:r>
        <w:rPr>
          <w:b/>
        </w:rPr>
        <w:t xml:space="preserve">Design principle: </w:t>
      </w:r>
      <w:r>
        <w:t>Show 3–5 actionable findings, not a wall of technical observations.</w:t>
      </w:r>
    </w:p>
    <w:p>
      <w:pPr>
        <w:pStyle w:val="Heading1"/>
      </w:pPr>
      <w:r>
        <w:t>8. Conversion Paths</w:t>
      </w:r>
    </w:p>
    <w:p>
      <w:pPr>
        <w:pStyle w:val="ListBullet"/>
      </w:pPr>
      <w:r>
        <w:t>Continue / Connect — move into the product.</w:t>
      </w:r>
    </w:p>
    <w:p>
      <w:pPr>
        <w:pStyle w:val="ListBullet"/>
      </w:pPr>
      <w:r>
        <w:t>Qualify — capture organizations that are not yet connected or eligible for Ad Grants.</w:t>
      </w:r>
    </w:p>
    <w:p>
      <w:pPr>
        <w:pStyle w:val="ListBullet"/>
      </w:pPr>
      <w:r>
        <w:t>Email Me the Report — low-friction lead capture for users who are not ready to connect.</w:t>
      </w:r>
    </w:p>
    <w:p>
      <w:r>
        <w:rPr>
          <w:b/>
        </w:rPr>
        <w:t xml:space="preserve">Important: </w:t>
      </w:r>
      <w:r>
        <w:t>Do not gate Ad Grants on FCRA. FCRA remains a separate organization/compliance field.</w:t>
      </w:r>
    </w:p>
    <w:p>
      <w:pPr>
        <w:pStyle w:val="Heading1"/>
      </w:pPr>
      <w:r>
        <w:t>9. Google Ad Grants</w:t>
      </w:r>
    </w:p>
    <w:p>
      <w:r>
        <w:rPr>
          <w:b/>
        </w:rPr>
        <w:t xml:space="preserve">Phase 1A posture: </w:t>
      </w:r>
      <w:r>
        <w:t>Read-only diagnostics. No autonomous campaign changes.</w:t>
      </w:r>
    </w:p>
    <w:p>
      <w:pPr>
        <w:pStyle w:val="ListBullet"/>
      </w:pPr>
      <w:r>
        <w:t>Eligible + account connected → full diagnostic.</w:t>
      </w:r>
    </w:p>
    <w:p>
      <w:pPr>
        <w:pStyle w:val="ListBullet"/>
      </w:pPr>
      <w:r>
        <w:t>Eligible + not enrolled/connected → eligibility and preparation path.</w:t>
      </w:r>
    </w:p>
    <w:p>
      <w:pPr>
        <w:pStyle w:val="ListBullet"/>
      </w:pPr>
      <w:r>
        <w:t>Excluded → explain the exclusion without manufacturing an opportunity.</w:t>
      </w:r>
    </w:p>
    <w:p>
      <w:r>
        <w:rPr>
          <w:b/>
        </w:rPr>
        <w:t xml:space="preserve">Eligibility model: </w:t>
      </w:r>
      <w:r>
        <w:t>Use the actual Google/TechSoup/Google for Nonprofits eligibility signals when implemented; do not use FCRA as the gate.</w:t>
      </w:r>
    </w:p>
    <w:p>
      <w:pPr>
        <w:pStyle w:val="Heading1"/>
      </w:pPr>
      <w:r>
        <w:t>10. Manual Ad Grants Evidence Path</w:t>
      </w:r>
    </w:p>
    <w:p>
      <w:pPr>
        <w:ind w:left="288" w:right="288"/>
      </w:pPr>
      <w:r>
        <w:rPr>
          <w:rFonts w:ascii="Consolas" w:hAnsi="Consolas"/>
          <w:sz w:val="17"/>
        </w:rPr>
        <w:t>Connect Google Ads</w:t>
        <w:br/>
        <w:t xml:space="preserve">        OR</w:t>
        <w:br/>
        <w:t>Upload Google Ads CSV</w:t>
        <w:br/>
        <w:t xml:space="preserve">        OR</w:t>
        <w:br/>
        <w:t>Continue without account data</w:t>
        <w:br/>
        <w:br/>
        <w:t>Confidence:</w:t>
        <w:br/>
        <w:t>HIGH    Connected account</w:t>
        <w:br/>
        <w:t>MEDIUM  Uploaded export</w:t>
        <w:br/>
        <w:t>LOW     Public-site estimate</w:t>
      </w:r>
    </w:p>
    <w:p>
      <w:r>
        <w:rPr>
          <w:b/>
        </w:rPr>
        <w:t xml:space="preserve">Purpose: </w:t>
      </w:r>
      <w:r>
        <w:t>Remove Google/API/customer onboarding dependencies from the sales and design-partner cycle.</w:t>
      </w:r>
    </w:p>
    <w:p>
      <w:pPr>
        <w:pStyle w:val="Heading1"/>
      </w:pPr>
      <w:r>
        <w:t>11. Overview Dashboard</w:t>
      </w:r>
    </w:p>
    <w:p>
      <w:pPr>
        <w:ind w:left="288" w:right="288"/>
      </w:pPr>
      <w:r>
        <w:rPr>
          <w:rFonts w:ascii="Consolas" w:hAnsi="Consolas"/>
          <w:sz w:val="17"/>
        </w:rPr>
        <w:t>Good morning, ABC Foundation</w:t>
        <w:br/>
        <w:br/>
        <w:t>VISIBILITY</w:t>
        <w:br/>
        <w:t>67 / 100</w:t>
        <w:br/>
        <w:t>↑ 8 since last audit</w:t>
        <w:br/>
        <w:br/>
        <w:t>AD GRANTS</w:t>
        <w:br/>
        <w:t>₹4.8L estimated monthly opportunity</w:t>
        <w:br/>
        <w:br/>
        <w:t>THIS WEEK</w:t>
        <w:br/>
        <w:t>3 actions</w:t>
        <w:br/>
        <w:t>2 content drafts</w:t>
        <w:br/>
        <w:t>1 approval needed</w:t>
        <w:br/>
        <w:br/>
        <w:t>TOP PRIORITIES</w:t>
        <w:br/>
        <w:t>01 Fix FAQ structure          High</w:t>
        <w:br/>
        <w:t>02 Improve programme pages    High</w:t>
        <w:br/>
        <w:t>03 Approve content            Today</w:t>
      </w:r>
    </w:p>
    <w:p>
      <w:r>
        <w:rPr>
          <w:b/>
        </w:rPr>
        <w:t xml:space="preserve">Dashboard question: </w:t>
      </w:r>
      <w:r>
        <w:t>Where are we? What matters? What do I do next?</w:t>
      </w:r>
    </w:p>
    <w:p>
      <w:pPr>
        <w:pStyle w:val="Heading1"/>
      </w:pPr>
      <w:r>
        <w:t>12. Actions</w:t>
      </w:r>
    </w:p>
    <w:p>
      <w:pPr>
        <w:pStyle w:val="ListBullet"/>
      </w:pPr>
      <w:r>
        <w:t>Convert audit findings into a prioritized action list.</w:t>
      </w:r>
    </w:p>
    <w:p>
      <w:pPr>
        <w:pStyle w:val="ListBullet"/>
      </w:pPr>
      <w:r>
        <w:t>Show impact, effort, evidence, and recommended action.</w:t>
      </w:r>
    </w:p>
    <w:p>
      <w:pPr>
        <w:pStyle w:val="ListBullet"/>
      </w:pPr>
      <w:r>
        <w:t>Allow generation of recommended copy where useful.</w:t>
      </w:r>
    </w:p>
    <w:p>
      <w:pPr>
        <w:pStyle w:val="ListBullet"/>
      </w:pPr>
      <w:r>
        <w:t>Do not make the action list a generic task manager.</w:t>
      </w:r>
    </w:p>
    <w:p>
      <w:pPr>
        <w:pStyle w:val="Heading1"/>
      </w:pPr>
      <w:r>
        <w:t>13. Content Engine</w:t>
      </w:r>
    </w:p>
    <w:p>
      <w:pPr>
        <w:pStyle w:val="ListBullet"/>
      </w:pPr>
      <w:r>
        <w:t>Use 4–6 confirmed content pillars.</w:t>
      </w:r>
    </w:p>
    <w:p>
      <w:pPr>
        <w:pStyle w:val="ListBullet"/>
      </w:pPr>
      <w:r>
        <w:t>Generate a simple content calendar.</w:t>
      </w:r>
    </w:p>
    <w:p>
      <w:pPr>
        <w:pStyle w:val="ListBullet"/>
      </w:pPr>
      <w:r>
        <w:t>Generate GEO-structured blog/content drafts.</w:t>
      </w:r>
    </w:p>
    <w:p>
      <w:pPr>
        <w:pStyle w:val="ListBullet"/>
      </w:pPr>
      <w:r>
        <w:t>Keep the organization’s brand voice in context.</w:t>
      </w:r>
    </w:p>
    <w:p>
      <w:pPr>
        <w:pStyle w:val="ListBullet"/>
      </w:pPr>
      <w:r>
        <w:t>Require human approval before anything is considered publishable.</w:t>
      </w:r>
    </w:p>
    <w:p>
      <w:pPr>
        <w:ind w:left="288" w:right="288"/>
      </w:pPr>
      <w:r>
        <w:rPr>
          <w:rFonts w:ascii="Consolas" w:hAnsi="Consolas"/>
          <w:sz w:val="17"/>
        </w:rPr>
        <w:t>Brand profile</w:t>
        <w:br/>
        <w:t xml:space="preserve">     +</w:t>
        <w:br/>
        <w:t>Brand voice</w:t>
        <w:br/>
        <w:t xml:space="preserve">     +</w:t>
        <w:br/>
        <w:t>Content pillar</w:t>
        <w:br/>
        <w:t xml:space="preserve">     +</w:t>
        <w:br/>
        <w:t>Audit findings</w:t>
        <w:br/>
        <w:t xml:space="preserve">     ↓</w:t>
        <w:br/>
        <w:t>AI</w:t>
        <w:br/>
        <w:t xml:space="preserve">     ↓</w:t>
        <w:br/>
        <w:t>Structured draft</w:t>
        <w:br/>
        <w:t xml:space="preserve">     ↓</w:t>
        <w:br/>
        <w:t>Human review</w:t>
        <w:br/>
        <w:t xml:space="preserve">     ↓</w:t>
        <w:br/>
        <w:t>APPROVE</w:t>
      </w:r>
    </w:p>
    <w:p>
      <w:pPr>
        <w:pStyle w:val="Heading1"/>
      </w:pPr>
      <w:r>
        <w:t>14. Weekly Report — Retention Loop</w:t>
      </w:r>
    </w:p>
    <w:p>
      <w:pPr>
        <w:ind w:left="288" w:right="288"/>
      </w:pPr>
      <w:r>
        <w:rPr>
          <w:rFonts w:ascii="Consolas" w:hAnsi="Consolas"/>
          <w:sz w:val="17"/>
        </w:rPr>
        <w:t>SEctOr Weekly Report</w:t>
        <w:br/>
        <w:t>ABC Foundation</w:t>
        <w:br/>
        <w:br/>
        <w:t>Visibility</w:t>
        <w:br/>
        <w:t>67 → 72 ↑</w:t>
        <w:br/>
        <w:br/>
        <w:t>Completed</w:t>
        <w:br/>
        <w:t>4 actions</w:t>
        <w:br/>
        <w:br/>
        <w:t>New opportunities</w:t>
        <w:br/>
        <w:t>3</w:t>
        <w:br/>
        <w:br/>
        <w:t>Content</w:t>
        <w:br/>
        <w:t>3 approved</w:t>
        <w:br/>
        <w:t>2 published</w:t>
        <w:br/>
        <w:br/>
        <w:t>Attention needed</w:t>
        <w:br/>
        <w:t>1 item</w:t>
        <w:br/>
        <w:br/>
        <w:t>Ad Grants</w:t>
        <w:br/>
        <w:t>₹4.8L estimated opportunity</w:t>
      </w:r>
    </w:p>
    <w:p>
      <w:r>
        <w:rPr>
          <w:b/>
        </w:rPr>
        <w:t xml:space="preserve">Strategic role: </w:t>
      </w:r>
      <w:r>
        <w:t>The weekly report is the retention mechanism. Billing automation is secondary to proving recurring value.</w:t>
      </w:r>
    </w:p>
    <w:p>
      <w:pPr>
        <w:pStyle w:val="Heading1"/>
      </w:pPr>
      <w:r>
        <w:t>15. Before / After</w:t>
      </w:r>
    </w:p>
    <w:p>
      <w:pPr>
        <w:ind w:left="288" w:right="288"/>
      </w:pPr>
      <w:r>
        <w:rPr>
          <w:rFonts w:ascii="Consolas" w:hAnsi="Consolas"/>
          <w:sz w:val="17"/>
        </w:rPr>
        <w:t xml:space="preserve">                  BEFORE       NOW</w:t>
        <w:br/>
        <w:br/>
        <w:t>Visibility          58         72</w:t>
        <w:br/>
        <w:t>FAQ coverage        31%        88%</w:t>
        <w:br/>
        <w:t>Schema               2          7</w:t>
        <w:br/>
        <w:t>Fresh pages         42%        81%</w:t>
        <w:br/>
        <w:br/>
        <w:t>Content shipped      —          12</w:t>
        <w:br/>
        <w:br/>
        <w:t>Ad Grant opportunity</w:t>
        <w:br/>
        <w:t>₹2.1L                →          ₹4.8L</w:t>
      </w:r>
    </w:p>
    <w:p>
      <w:r>
        <w:rPr>
          <w:b/>
        </w:rPr>
        <w:t xml:space="preserve">Output: </w:t>
      </w:r>
      <w:r>
        <w:t>Impact report suitable for renewal, case study, and future sales.</w:t>
      </w:r>
    </w:p>
    <w:p>
      <w:pPr>
        <w:pStyle w:val="Heading1"/>
      </w:pPr>
      <w:r>
        <w:t>16. Frozen Tech Stack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Layer</w:t>
            </w:r>
          </w:p>
        </w:tc>
        <w:tc>
          <w:tcPr>
            <w:tcW w:type="dxa" w:w="5040"/>
          </w:tcPr>
          <w:p>
            <w:r>
              <w:t>Choice</w:t>
            </w:r>
          </w:p>
        </w:tc>
      </w:tr>
      <w:tr>
        <w:tc>
          <w:tcPr>
            <w:tcW w:type="dxa" w:w="5040"/>
          </w:tcPr>
          <w:p>
            <w:r>
              <w:t>Frontend</w:t>
            </w:r>
          </w:p>
        </w:tc>
        <w:tc>
          <w:tcPr>
            <w:tcW w:type="dxa" w:w="5040"/>
          </w:tcPr>
          <w:p>
            <w:r>
              <w:t>Next.js + TypeScript</w:t>
            </w:r>
          </w:p>
        </w:tc>
      </w:tr>
      <w:tr>
        <w:tc>
          <w:tcPr>
            <w:tcW w:type="dxa" w:w="5040"/>
          </w:tcPr>
          <w:p>
            <w:r>
              <w:t>UI</w:t>
            </w:r>
          </w:p>
        </w:tc>
        <w:tc>
          <w:tcPr>
            <w:tcW w:type="dxa" w:w="5040"/>
          </w:tcPr>
          <w:p>
            <w:r>
              <w:t>Tailwind + shadcn/ui</w:t>
            </w:r>
          </w:p>
        </w:tc>
      </w:tr>
      <w:tr>
        <w:tc>
          <w:tcPr>
            <w:tcW w:type="dxa" w:w="5040"/>
          </w:tcPr>
          <w:p>
            <w:r>
              <w:t>Backend</w:t>
            </w:r>
          </w:p>
        </w:tc>
        <w:tc>
          <w:tcPr>
            <w:tcW w:type="dxa" w:w="5040"/>
          </w:tcPr>
          <w:p>
            <w:r>
              <w:t>Next.js API / Server Actions</w:t>
            </w:r>
          </w:p>
        </w:tc>
      </w:tr>
      <w:tr>
        <w:tc>
          <w:tcPr>
            <w:tcW w:type="dxa" w:w="5040"/>
          </w:tcPr>
          <w:p>
            <w:r>
              <w:t>Database</w:t>
            </w:r>
          </w:p>
        </w:tc>
        <w:tc>
          <w:tcPr>
            <w:tcW w:type="dxa" w:w="5040"/>
          </w:tcPr>
          <w:p>
            <w:r>
              <w:t>Postgres / Supabase</w:t>
            </w:r>
          </w:p>
        </w:tc>
      </w:tr>
      <w:tr>
        <w:tc>
          <w:tcPr>
            <w:tcW w:type="dxa" w:w="5040"/>
          </w:tcPr>
          <w:p>
            <w:r>
              <w:t>Auth</w:t>
            </w:r>
          </w:p>
        </w:tc>
        <w:tc>
          <w:tcPr>
            <w:tcW w:type="dxa" w:w="5040"/>
          </w:tcPr>
          <w:p>
            <w:r>
              <w:t>Supabase Auth</w:t>
            </w:r>
          </w:p>
        </w:tc>
      </w:tr>
      <w:tr>
        <w:tc>
          <w:tcPr>
            <w:tcW w:type="dxa" w:w="5040"/>
          </w:tcPr>
          <w:p>
            <w:r>
              <w:t>Crawler</w:t>
            </w:r>
          </w:p>
        </w:tc>
        <w:tc>
          <w:tcPr>
            <w:tcW w:type="dxa" w:w="5040"/>
          </w:tcPr>
          <w:p>
            <w:r>
              <w:t>Cheerio initially; Playwright only when evidence requires it</w:t>
            </w:r>
          </w:p>
        </w:tc>
      </w:tr>
      <w:tr>
        <w:tc>
          <w:tcPr>
            <w:tcW w:type="dxa" w:w="5040"/>
          </w:tcPr>
          <w:p>
            <w:r>
              <w:t>Scoring</w:t>
            </w:r>
          </w:p>
        </w:tc>
        <w:tc>
          <w:tcPr>
            <w:tcW w:type="dxa" w:w="5040"/>
          </w:tcPr>
          <w:p>
            <w:r>
              <w:t>TypeScript deterministic rules engine</w:t>
            </w:r>
          </w:p>
        </w:tc>
      </w:tr>
      <w:tr>
        <w:tc>
          <w:tcPr>
            <w:tcW w:type="dxa" w:w="5040"/>
          </w:tcPr>
          <w:p>
            <w:r>
              <w:t>AI</w:t>
            </w:r>
          </w:p>
        </w:tc>
        <w:tc>
          <w:tcPr>
            <w:tcW w:type="dxa" w:w="5040"/>
          </w:tcPr>
          <w:p>
            <w:r>
              <w:t>Model abstraction; OpenAI / Anthropic</w:t>
            </w:r>
          </w:p>
        </w:tc>
      </w:tr>
      <w:tr>
        <w:tc>
          <w:tcPr>
            <w:tcW w:type="dxa" w:w="5040"/>
          </w:tcPr>
          <w:p>
            <w:r>
              <w:t>Jobs</w:t>
            </w:r>
          </w:p>
        </w:tc>
        <w:tc>
          <w:tcPr>
            <w:tcW w:type="dxa" w:w="5040"/>
          </w:tcPr>
          <w:p>
            <w:r>
              <w:t>Inngest / scheduled serverless jobs</w:t>
            </w:r>
          </w:p>
        </w:tc>
      </w:tr>
      <w:tr>
        <w:tc>
          <w:tcPr>
            <w:tcW w:type="dxa" w:w="5040"/>
          </w:tcPr>
          <w:p>
            <w:r>
              <w:t>Google</w:t>
            </w:r>
          </w:p>
        </w:tc>
        <w:tc>
          <w:tcPr>
            <w:tcW w:type="dxa" w:w="5040"/>
          </w:tcPr>
          <w:p>
            <w:r>
              <w:t>Google Ads API + Google Search Console API</w:t>
            </w:r>
          </w:p>
        </w:tc>
      </w:tr>
      <w:tr>
        <w:tc>
          <w:tcPr>
            <w:tcW w:type="dxa" w:w="5040"/>
          </w:tcPr>
          <w:p>
            <w:r>
              <w:t>Email</w:t>
            </w:r>
          </w:p>
        </w:tc>
        <w:tc>
          <w:tcPr>
            <w:tcW w:type="dxa" w:w="5040"/>
          </w:tcPr>
          <w:p>
            <w:r>
              <w:t>Resend</w:t>
            </w:r>
          </w:p>
        </w:tc>
      </w:tr>
      <w:tr>
        <w:tc>
          <w:tcPr>
            <w:tcW w:type="dxa" w:w="5040"/>
          </w:tcPr>
          <w:p>
            <w:r>
              <w:t>Billing</w:t>
            </w:r>
          </w:p>
        </w:tc>
        <w:tc>
          <w:tcPr>
            <w:tcW w:type="dxa" w:w="5040"/>
          </w:tcPr>
          <w:p>
            <w:r>
              <w:t>Razorpay / Cashfree</w:t>
            </w:r>
          </w:p>
        </w:tc>
      </w:tr>
      <w:tr>
        <w:tc>
          <w:tcPr>
            <w:tcW w:type="dxa" w:w="5040"/>
          </w:tcPr>
          <w:p>
            <w:r>
              <w:t>Hosting</w:t>
            </w:r>
          </w:p>
        </w:tc>
        <w:tc>
          <w:tcPr>
            <w:tcW w:type="dxa" w:w="5040"/>
          </w:tcPr>
          <w:p>
            <w:r>
              <w:t>Vercel</w:t>
            </w:r>
          </w:p>
        </w:tc>
      </w:tr>
      <w:tr>
        <w:tc>
          <w:tcPr>
            <w:tcW w:type="dxa" w:w="5040"/>
          </w:tcPr>
          <w:p>
            <w:r>
              <w:t>Monitoring</w:t>
            </w:r>
          </w:p>
        </w:tc>
        <w:tc>
          <w:tcPr>
            <w:tcW w:type="dxa" w:w="5040"/>
          </w:tcPr>
          <w:p>
            <w:r>
              <w:t>Sentry</w:t>
            </w:r>
          </w:p>
        </w:tc>
      </w:tr>
      <w:tr>
        <w:tc>
          <w:tcPr>
            <w:tcW w:type="dxa" w:w="5040"/>
          </w:tcPr>
          <w:p>
            <w:r>
              <w:t>Analytics</w:t>
            </w:r>
          </w:p>
        </w:tc>
        <w:tc>
          <w:tcPr>
            <w:tcW w:type="dxa" w:w="5040"/>
          </w:tcPr>
          <w:p>
            <w:r>
              <w:t>PostHog</w:t>
            </w:r>
          </w:p>
        </w:tc>
      </w:tr>
      <w:tr>
        <w:tc>
          <w:tcPr>
            <w:tcW w:type="dxa" w:w="5040"/>
          </w:tcPr>
          <w:p>
            <w:r>
              <w:t>Repository / CI</w:t>
            </w:r>
          </w:p>
        </w:tc>
        <w:tc>
          <w:tcPr>
            <w:tcW w:type="dxa" w:w="5040"/>
          </w:tcPr>
          <w:p>
            <w:r>
              <w:t>GitHub</w:t>
            </w:r>
          </w:p>
        </w:tc>
      </w:tr>
    </w:tbl>
    <w:p>
      <w:pPr>
        <w:pStyle w:val="Heading1"/>
      </w:pPr>
      <w:r>
        <w:t>17. Architecture Principles</w:t>
      </w:r>
    </w:p>
    <w:p>
      <w:pPr>
        <w:pStyle w:val="ListBullet"/>
      </w:pPr>
      <w:r>
        <w:t>One application.</w:t>
      </w:r>
    </w:p>
    <w:p>
      <w:pPr>
        <w:pStyle w:val="ListBullet"/>
      </w:pPr>
      <w:r>
        <w:t>One database.</w:t>
      </w:r>
    </w:p>
    <w:p>
      <w:pPr>
        <w:pStyle w:val="ListBullet"/>
      </w:pPr>
      <w:r>
        <w:t>One job system.</w:t>
      </w:r>
    </w:p>
    <w:p>
      <w:pPr>
        <w:pStyle w:val="ListBullet"/>
      </w:pPr>
      <w:r>
        <w:t>No microservices.</w:t>
      </w:r>
    </w:p>
    <w:p>
      <w:pPr>
        <w:pStyle w:val="ListBullet"/>
      </w:pPr>
      <w:r>
        <w:t>No separate Python backend.</w:t>
      </w:r>
    </w:p>
    <w:p>
      <w:pPr>
        <w:pStyle w:val="ListBullet"/>
      </w:pPr>
      <w:r>
        <w:t>Organization is the security boundary.</w:t>
      </w:r>
    </w:p>
    <w:p>
      <w:pPr>
        <w:pStyle w:val="ListBullet"/>
      </w:pPr>
      <w:r>
        <w:t>Sponsor access, when introduced, is aggregate-only by default.</w:t>
      </w:r>
    </w:p>
    <w:p>
      <w:pPr>
        <w:pStyle w:val="ListBullet"/>
      </w:pPr>
      <w:r>
        <w:t>Deterministic scoring; LLM for explanation and generation.</w:t>
      </w:r>
    </w:p>
    <w:p>
      <w:pPr>
        <w:pStyle w:val="ListBullet"/>
      </w:pPr>
      <w:r>
        <w:t>Structured AI outputs with schemas.</w:t>
      </w:r>
    </w:p>
    <w:p>
      <w:pPr>
        <w:pStyle w:val="Heading1"/>
      </w:pPr>
      <w:r>
        <w:t>18. MVP Data Model</w:t>
      </w:r>
    </w:p>
    <w:p>
      <w:pPr>
        <w:pStyle w:val="ListBullet"/>
      </w:pPr>
      <w:r>
        <w:t>organizations</w:t>
      </w:r>
    </w:p>
    <w:p>
      <w:pPr>
        <w:pStyle w:val="ListBullet"/>
      </w:pPr>
      <w:r>
        <w:t>users</w:t>
      </w:r>
    </w:p>
    <w:p>
      <w:pPr>
        <w:pStyle w:val="ListBullet"/>
      </w:pPr>
      <w:r>
        <w:t>organization_members</w:t>
      </w:r>
    </w:p>
    <w:p>
      <w:pPr>
        <w:pStyle w:val="ListBullet"/>
      </w:pPr>
      <w:r>
        <w:t>brand_profiles</w:t>
      </w:r>
    </w:p>
    <w:p>
      <w:pPr>
        <w:pStyle w:val="ListBullet"/>
      </w:pPr>
      <w:r>
        <w:t>audits</w:t>
      </w:r>
    </w:p>
    <w:p>
      <w:pPr>
        <w:pStyle w:val="ListBullet"/>
      </w:pPr>
      <w:r>
        <w:t>audit_pages</w:t>
      </w:r>
    </w:p>
    <w:p>
      <w:pPr>
        <w:pStyle w:val="ListBullet"/>
      </w:pPr>
      <w:r>
        <w:t>audit_findings</w:t>
      </w:r>
    </w:p>
    <w:p>
      <w:pPr>
        <w:pStyle w:val="ListBullet"/>
      </w:pPr>
      <w:r>
        <w:t>ad_grant_eligibility</w:t>
      </w:r>
    </w:p>
    <w:p>
      <w:pPr>
        <w:pStyle w:val="ListBullet"/>
      </w:pPr>
      <w:r>
        <w:t>ad_grant_accounts</w:t>
      </w:r>
    </w:p>
    <w:p>
      <w:pPr>
        <w:pStyle w:val="ListBullet"/>
      </w:pPr>
      <w:r>
        <w:t>ad_grant_snapshots</w:t>
      </w:r>
    </w:p>
    <w:p>
      <w:pPr>
        <w:pStyle w:val="ListBullet"/>
      </w:pPr>
      <w:r>
        <w:t>content_pillars</w:t>
      </w:r>
    </w:p>
    <w:p>
      <w:pPr>
        <w:pStyle w:val="ListBullet"/>
      </w:pPr>
      <w:r>
        <w:t>content_assets</w:t>
      </w:r>
    </w:p>
    <w:p>
      <w:pPr>
        <w:pStyle w:val="ListBullet"/>
      </w:pPr>
      <w:r>
        <w:t>calendar_items</w:t>
      </w:r>
    </w:p>
    <w:p>
      <w:pPr>
        <w:pStyle w:val="ListBullet"/>
      </w:pPr>
      <w:r>
        <w:t>weekly_reports</w:t>
      </w:r>
    </w:p>
    <w:p>
      <w:pPr>
        <w:pStyle w:val="ListBullet"/>
      </w:pPr>
      <w:r>
        <w:t>leads</w:t>
      </w:r>
    </w:p>
    <w:p>
      <w:pPr>
        <w:pStyle w:val="ListBullet"/>
      </w:pPr>
      <w:r>
        <w:t>audit_email_deliveries</w:t>
      </w:r>
    </w:p>
    <w:p>
      <w:pPr>
        <w:pStyle w:val="Heading1"/>
      </w:pPr>
      <w:r>
        <w:t>19. Explicitly Out of MVP</w:t>
      </w:r>
    </w:p>
    <w:p>
      <w:pPr>
        <w:pStyle w:val="ListBullet"/>
      </w:pPr>
      <w:r>
        <w:t>CRM</w:t>
      </w:r>
    </w:p>
    <w:p>
      <w:pPr>
        <w:pStyle w:val="ListBullet"/>
      </w:pPr>
      <w:r>
        <w:t>Donor database</w:t>
      </w:r>
    </w:p>
    <w:p>
      <w:pPr>
        <w:pStyle w:val="ListBullet"/>
      </w:pPr>
      <w:r>
        <w:t>Fundraising</w:t>
      </w:r>
    </w:p>
    <w:p>
      <w:pPr>
        <w:pStyle w:val="ListBullet"/>
      </w:pPr>
      <w:r>
        <w:t>Funder/investor matching</w:t>
      </w:r>
    </w:p>
    <w:p>
      <w:pPr>
        <w:pStyle w:val="ListBullet"/>
      </w:pPr>
      <w:r>
        <w:t>Social media scheduling/publishing</w:t>
      </w:r>
    </w:p>
    <w:p>
      <w:pPr>
        <w:pStyle w:val="ListBullet"/>
      </w:pPr>
      <w:r>
        <w:t>Canva integration</w:t>
      </w:r>
    </w:p>
    <w:p>
      <w:pPr>
        <w:pStyle w:val="ListBullet"/>
      </w:pPr>
      <w:r>
        <w:t>Video generation</w:t>
      </w:r>
    </w:p>
    <w:p>
      <w:pPr>
        <w:pStyle w:val="ListBullet"/>
      </w:pPr>
      <w:r>
        <w:t>Pitch deck generation</w:t>
      </w:r>
    </w:p>
    <w:p>
      <w:pPr>
        <w:pStyle w:val="ListBullet"/>
      </w:pPr>
      <w:r>
        <w:t>Mobile application</w:t>
      </w:r>
    </w:p>
    <w:p>
      <w:pPr>
        <w:pStyle w:val="ListBullet"/>
      </w:pPr>
      <w:r>
        <w:t>Autonomous Ad Grant campaign changes</w:t>
      </w:r>
    </w:p>
    <w:p>
      <w:pPr>
        <w:pStyle w:val="ListBullet"/>
      </w:pPr>
      <w:r>
        <w:t>Complex sponsor dashboard</w:t>
      </w:r>
    </w:p>
    <w:p>
      <w:pPr>
        <w:pStyle w:val="ListBullet"/>
      </w:pPr>
      <w:r>
        <w:t>Marketplace</w:t>
      </w:r>
    </w:p>
    <w:p>
      <w:pPr>
        <w:pStyle w:val="ListBullet"/>
      </w:pPr>
      <w:r>
        <w:t>Social-enterprise product</w:t>
      </w:r>
    </w:p>
    <w:p>
      <w:pPr>
        <w:pStyle w:val="ListBullet"/>
      </w:pPr>
      <w:r>
        <w:t>Generic AI chatbot</w:t>
      </w:r>
    </w:p>
    <w:p>
      <w:pPr>
        <w:pStyle w:val="ListBullet"/>
      </w:pPr>
      <w:r>
        <w:t>Custom reporting builder</w:t>
      </w:r>
    </w:p>
    <w:p>
      <w:pPr>
        <w:pStyle w:val="Heading1"/>
      </w:pPr>
      <w:r>
        <w:t>20. Pricing — Launch Hypothesis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Offer</w:t>
            </w:r>
          </w:p>
        </w:tc>
        <w:tc>
          <w:tcPr>
            <w:tcW w:type="dxa" w:w="5040"/>
          </w:tcPr>
          <w:p>
            <w:r>
              <w:t>Price</w:t>
            </w:r>
          </w:p>
        </w:tc>
      </w:tr>
      <w:tr>
        <w:tc>
          <w:tcPr>
            <w:tcW w:type="dxa" w:w="5040"/>
          </w:tcPr>
          <w:p>
            <w:r>
              <w:t>Free audit</w:t>
            </w:r>
          </w:p>
        </w:tc>
        <w:tc>
          <w:tcPr>
            <w:tcW w:type="dxa" w:w="5040"/>
          </w:tcPr>
          <w:p>
            <w:r>
              <w:t>One-time</w:t>
            </w:r>
          </w:p>
        </w:tc>
      </w:tr>
      <w:tr>
        <w:tc>
          <w:tcPr>
            <w:tcW w:type="dxa" w:w="5040"/>
          </w:tcPr>
          <w:p>
            <w:r>
              <w:t>Founding 10</w:t>
            </w:r>
          </w:p>
        </w:tc>
        <w:tc>
          <w:tcPr>
            <w:tcW w:type="dxa" w:w="5040"/>
          </w:tcPr>
          <w:p>
            <w:r>
              <w:t>₹9,900/month × 12 months</w:t>
            </w:r>
          </w:p>
        </w:tc>
      </w:tr>
      <w:tr>
        <w:tc>
          <w:tcPr>
            <w:tcW w:type="dxa" w:w="5040"/>
          </w:tcPr>
          <w:p>
            <w:r>
              <w:t>Standard</w:t>
            </w:r>
          </w:p>
        </w:tc>
        <w:tc>
          <w:tcPr>
            <w:tcW w:type="dxa" w:w="5040"/>
          </w:tcPr>
          <w:p>
            <w:r>
              <w:t>₹14,900/month</w:t>
            </w:r>
          </w:p>
        </w:tc>
      </w:tr>
      <w:tr>
        <w:tc>
          <w:tcPr>
            <w:tcW w:type="dxa" w:w="5040"/>
          </w:tcPr>
          <w:p>
            <w:r>
              <w:t>Annual standard</w:t>
            </w:r>
          </w:p>
        </w:tc>
        <w:tc>
          <w:tcPr>
            <w:tcW w:type="dxa" w:w="5040"/>
          </w:tcPr>
          <w:p>
            <w:r>
              <w:t>₹1,49,000/year</w:t>
            </w:r>
          </w:p>
        </w:tc>
      </w:tr>
    </w:tbl>
    <w:p>
      <w:r>
        <w:rPr>
          <w:b/>
        </w:rPr>
        <w:t xml:space="preserve">Founding customers: </w:t>
      </w:r>
      <w:r>
        <w:t>First 10 only; in exchange for case-study participation, feedback, before/after data, and a reference call if successful.</w:t>
      </w:r>
    </w:p>
    <w:p>
      <w:pPr>
        <w:pStyle w:val="Heading1"/>
      </w:pPr>
      <w:r>
        <w:t>21. MVP Graduation Gate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Metric</w:t>
            </w:r>
          </w:p>
        </w:tc>
        <w:tc>
          <w:tcPr>
            <w:tcW w:type="dxa" w:w="5040"/>
          </w:tcPr>
          <w:p>
            <w:r>
              <w:t>Gate</w:t>
            </w:r>
          </w:p>
        </w:tc>
      </w:tr>
      <w:tr>
        <w:tc>
          <w:tcPr>
            <w:tcW w:type="dxa" w:w="5040"/>
          </w:tcPr>
          <w:p>
            <w:r>
              <w:t>Organizations audited</w:t>
            </w:r>
          </w:p>
        </w:tc>
        <w:tc>
          <w:tcPr>
            <w:tcW w:type="dxa" w:w="5040"/>
          </w:tcPr>
          <w:p>
            <w:r>
              <w:t>≥50</w:t>
            </w:r>
          </w:p>
        </w:tc>
      </w:tr>
      <w:tr>
        <w:tc>
          <w:tcPr>
            <w:tcW w:type="dxa" w:w="5040"/>
          </w:tcPr>
          <w:p>
            <w:r>
              <w:t>Audit → meaningful intent</w:t>
            </w:r>
          </w:p>
        </w:tc>
        <w:tc>
          <w:tcPr>
            <w:tcW w:type="dxa" w:w="5040"/>
          </w:tcPr>
          <w:p>
            <w:r>
              <w:t>≥10%</w:t>
            </w:r>
          </w:p>
        </w:tc>
      </w:tr>
      <w:tr>
        <w:tc>
          <w:tcPr>
            <w:tcW w:type="dxa" w:w="5040"/>
          </w:tcPr>
          <w:p>
            <w:r>
              <w:t>Audit → email capture</w:t>
            </w:r>
          </w:p>
        </w:tc>
        <w:tc>
          <w:tcPr>
            <w:tcW w:type="dxa" w:w="5040"/>
          </w:tcPr>
          <w:p>
            <w:r>
              <w:t>≥25%</w:t>
            </w:r>
          </w:p>
        </w:tc>
      </w:tr>
      <w:tr>
        <w:tc>
          <w:tcPr>
            <w:tcW w:type="dxa" w:w="5040"/>
          </w:tcPr>
          <w:p>
            <w:r>
              <w:t>CSR proposals</w:t>
            </w:r>
          </w:p>
        </w:tc>
        <w:tc>
          <w:tcPr>
            <w:tcW w:type="dxa" w:w="5040"/>
          </w:tcPr>
          <w:p>
            <w:r>
              <w:t>≥2</w:t>
            </w:r>
          </w:p>
        </w:tc>
      </w:tr>
      <w:tr>
        <w:tc>
          <w:tcPr>
            <w:tcW w:type="dxa" w:w="5040"/>
          </w:tcPr>
          <w:p>
            <w:r>
              <w:t>Founding-price yes</w:t>
            </w:r>
          </w:p>
        </w:tc>
        <w:tc>
          <w:tcPr>
            <w:tcW w:type="dxa" w:w="5040"/>
          </w:tcPr>
          <w:p>
            <w:r>
              <w:t>≥2</w:t>
            </w:r>
          </w:p>
        </w:tc>
      </w:tr>
      <w:tr>
        <w:tc>
          <w:tcPr>
            <w:tcW w:type="dxa" w:w="5040"/>
          </w:tcPr>
          <w:p>
            <w:r>
              <w:t>Paying NGOs</w:t>
            </w:r>
          </w:p>
        </w:tc>
        <w:tc>
          <w:tcPr>
            <w:tcW w:type="dxa" w:w="5040"/>
          </w:tcPr>
          <w:p>
            <w:r>
              <w:t>Target 10</w:t>
            </w:r>
          </w:p>
        </w:tc>
      </w:tr>
      <w:tr>
        <w:tc>
          <w:tcPr>
            <w:tcW w:type="dxa" w:w="5040"/>
          </w:tcPr>
          <w:p>
            <w:r>
              <w:t>Before/after case studies</w:t>
            </w:r>
          </w:p>
        </w:tc>
        <w:tc>
          <w:tcPr>
            <w:tcW w:type="dxa" w:w="5040"/>
          </w:tcPr>
          <w:p>
            <w:r>
              <w:t>Target 5+</w:t>
            </w:r>
          </w:p>
        </w:tc>
      </w:tr>
    </w:tbl>
    <w:p>
      <w:pPr>
        <w:pStyle w:val="Heading1"/>
      </w:pPr>
      <w:r>
        <w:t>22. 12-Week Execution Plan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t>Timing</w:t>
            </w:r>
          </w:p>
        </w:tc>
        <w:tc>
          <w:tcPr>
            <w:tcW w:type="dxa" w:w="3360"/>
          </w:tcPr>
          <w:p>
            <w:r>
              <w:t>Focus</w:t>
            </w:r>
          </w:p>
        </w:tc>
        <w:tc>
          <w:tcPr>
            <w:tcW w:type="dxa" w:w="3360"/>
          </w:tcPr>
          <w:p>
            <w:r>
              <w:t>Deliverables</w:t>
            </w:r>
          </w:p>
        </w:tc>
      </w:tr>
      <w:tr>
        <w:tc>
          <w:tcPr>
            <w:tcW w:type="dxa" w:w="3360"/>
          </w:tcPr>
          <w:p>
            <w:r>
              <w:t>Weeks 1–2</w:t>
            </w:r>
          </w:p>
        </w:tc>
        <w:tc>
          <w:tcPr>
            <w:tcW w:type="dxa" w:w="3360"/>
          </w:tcPr>
          <w:p>
            <w:r>
              <w:t>Audit engine</w:t>
            </w:r>
          </w:p>
        </w:tc>
        <w:tc>
          <w:tcPr>
            <w:tcW w:type="dxa" w:w="3360"/>
          </w:tcPr>
          <w:p>
            <w:r>
              <w:t>Crawler, page discovery, weighting, scoring, findings.</w:t>
            </w:r>
          </w:p>
        </w:tc>
      </w:tr>
      <w:tr>
        <w:tc>
          <w:tcPr>
            <w:tcW w:type="dxa" w:w="3360"/>
          </w:tcPr>
          <w:p>
            <w:r>
              <w:t>Weeks 3–4</w:t>
            </w:r>
          </w:p>
        </w:tc>
        <w:tc>
          <w:tcPr>
            <w:tcW w:type="dxa" w:w="3360"/>
          </w:tcPr>
          <w:p>
            <w:r>
              <w:t>Free audit product</w:t>
            </w:r>
          </w:p>
        </w:tc>
        <w:tc>
          <w:tcPr>
            <w:tcW w:type="dxa" w:w="3360"/>
          </w:tcPr>
          <w:p>
            <w:r>
              <w:t>Landing page, progress state, results, email capture, qualification CTA.</w:t>
            </w:r>
          </w:p>
        </w:tc>
      </w:tr>
      <w:tr>
        <w:tc>
          <w:tcPr>
            <w:tcW w:type="dxa" w:w="3360"/>
          </w:tcPr>
          <w:p>
            <w:r>
              <w:t>Weeks 5–6</w:t>
            </w:r>
          </w:p>
        </w:tc>
        <w:tc>
          <w:tcPr>
            <w:tcW w:type="dxa" w:w="3360"/>
          </w:tcPr>
          <w:p>
            <w:r>
              <w:t>First 10–20 NGOs</w:t>
            </w:r>
          </w:p>
        </w:tc>
        <w:tc>
          <w:tcPr>
            <w:tcW w:type="dxa" w:w="3360"/>
          </w:tcPr>
          <w:p>
            <w:r>
              <w:t>Manual audits, real feedback, scoring fixes, conversion improvements.</w:t>
            </w:r>
          </w:p>
        </w:tc>
      </w:tr>
      <w:tr>
        <w:tc>
          <w:tcPr>
            <w:tcW w:type="dxa" w:w="3360"/>
          </w:tcPr>
          <w:p>
            <w:r>
              <w:t>Weeks 7–8</w:t>
            </w:r>
          </w:p>
        </w:tc>
        <w:tc>
          <w:tcPr>
            <w:tcW w:type="dxa" w:w="3360"/>
          </w:tcPr>
          <w:p>
            <w:r>
              <w:t>Connected product</w:t>
            </w:r>
          </w:p>
        </w:tc>
        <w:tc>
          <w:tcPr>
            <w:tcW w:type="dxa" w:w="3360"/>
          </w:tcPr>
          <w:p>
            <w:r>
              <w:t>Accounts, organization model, dashboard, action plan, Ad Grants evidence path.</w:t>
            </w:r>
          </w:p>
        </w:tc>
      </w:tr>
      <w:tr>
        <w:tc>
          <w:tcPr>
            <w:tcW w:type="dxa" w:w="3360"/>
          </w:tcPr>
          <w:p>
            <w:r>
              <w:t>Weeks 9–10</w:t>
            </w:r>
          </w:p>
        </w:tc>
        <w:tc>
          <w:tcPr>
            <w:tcW w:type="dxa" w:w="3360"/>
          </w:tcPr>
          <w:p>
            <w:r>
              <w:t>Content + retention</w:t>
            </w:r>
          </w:p>
        </w:tc>
        <w:tc>
          <w:tcPr>
            <w:tcW w:type="dxa" w:w="3360"/>
          </w:tcPr>
          <w:p>
            <w:r>
              <w:t>Pillars, calendar, drafts, approval, weekly report.</w:t>
            </w:r>
          </w:p>
        </w:tc>
      </w:tr>
      <w:tr>
        <w:tc>
          <w:tcPr>
            <w:tcW w:type="dxa" w:w="3360"/>
          </w:tcPr>
          <w:p>
            <w:r>
              <w:t>Weeks 11–12</w:t>
            </w:r>
          </w:p>
        </w:tc>
        <w:tc>
          <w:tcPr>
            <w:tcW w:type="dxa" w:w="3360"/>
          </w:tcPr>
          <w:p>
            <w:r>
              <w:t>Commercial hardening</w:t>
            </w:r>
          </w:p>
        </w:tc>
        <w:tc>
          <w:tcPr>
            <w:tcW w:type="dxa" w:w="3360"/>
          </w:tcPr>
          <w:p>
            <w:r>
              <w:t>Payments, security, monitoring, analytics, production QA.</w:t>
            </w:r>
          </w:p>
        </w:tc>
      </w:tr>
    </w:tbl>
    <w:p>
      <w:r>
        <w:rPr>
          <w:b/>
        </w:rPr>
        <w:t xml:space="preserve">Distribution rule: </w:t>
      </w:r>
      <w:r>
        <w:t>Begin the large benchmark campaign after the first 10–20 real audits, not before.</w:t>
      </w:r>
    </w:p>
    <w:p>
      <w:pPr>
        <w:pStyle w:val="Heading1"/>
      </w:pPr>
      <w:r>
        <w:t>23. The Product Flywheel</w:t>
      </w:r>
    </w:p>
    <w:p>
      <w:pPr>
        <w:ind w:left="288" w:right="288"/>
      </w:pPr>
      <w:r>
        <w:rPr>
          <w:rFonts w:ascii="Consolas" w:hAnsi="Consolas"/>
          <w:sz w:val="17"/>
        </w:rPr>
        <w:t>FREE AUDIT</w:t>
        <w:br/>
        <w:t xml:space="preserve">    ↓</w:t>
        <w:br/>
        <w:t>REAL INSIGHT</w:t>
        <w:br/>
        <w:t xml:space="preserve">    ↓</w:t>
        <w:br/>
        <w:t>EMAIL / QUALIFY</w:t>
        <w:br/>
        <w:t xml:space="preserve">    ↓</w:t>
        <w:br/>
        <w:t>CONNECT / PAY</w:t>
        <w:br/>
        <w:t xml:space="preserve">    ↓</w:t>
        <w:br/>
        <w:t>PRIORITIZED FIX</w:t>
        <w:br/>
        <w:t xml:space="preserve">    ↓</w:t>
        <w:br/>
        <w:t>AI CONTENT</w:t>
        <w:br/>
        <w:t xml:space="preserve">    ↓</w:t>
        <w:br/>
        <w:t>HUMAN APPROVAL</w:t>
        <w:br/>
        <w:t xml:space="preserve">    ↓</w:t>
        <w:br/>
        <w:t>WEEKLY MONITORING</w:t>
        <w:br/>
        <w:t xml:space="preserve">    ↓</w:t>
        <w:br/>
        <w:t>BEFORE / AFTER</w:t>
        <w:br/>
        <w:t xml:space="preserve">    ↓</w:t>
        <w:br/>
        <w:t>CASE STUDY</w:t>
        <w:br/>
        <w:t xml:space="preserve">    ↓</w:t>
        <w:br/>
        <w:t>REFERRAL / SALES</w:t>
        <w:br/>
        <w:t xml:space="preserve">    ↓</w:t>
        <w:br/>
        <w:t>MORE AUDITS</w:t>
      </w:r>
    </w:p>
    <w:p>
      <w:pPr>
        <w:pStyle w:val="Heading1"/>
      </w:pPr>
      <w:r>
        <w:t>24. Final MVP Definition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2F4F7"/>
          </w:tcPr>
          <w:p>
            <w:pPr>
              <w:spacing w:after="0"/>
            </w:pPr>
            <w:r>
              <w:rPr>
                <w:b/>
                <w:sz w:val="20"/>
              </w:rPr>
              <w:t>Build a minimalist NGO visibility platform where a prospect can audit their website for free, see a deterministic Visibility Conformance score and 3–5 actionable findings, capture the report by email or qualify for Google Ad Grants, then enter a paid workspace where SEctOr continuously monitors visibility, identifies Ad Grant opportunity, generates prioritized actions and on-brand content, and sends a weekly evidence-based report.</w:t>
            </w:r>
          </w:p>
        </w:tc>
      </w:tr>
    </w:tbl>
    <w:p>
      <w:r>
        <w:rPr>
          <w:b/>
        </w:rPr>
        <w:t xml:space="preserve">Strategic moat: </w:t>
      </w:r>
      <w:r>
        <w:t>NGO-specific rules → real-world outcomes → longitudinal benchmark data.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SEctOr — Final Phase 1 MVP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