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2E"/>
          <w:sz w:val="44"/>
          <w:szCs w:val="44"/>
        </w:rPr>
        <w:t xml:space="preserve">SEctOr</w:t>
      </w:r>
    </w:p>
    <w:p>
      <w:pPr>
        <w:spacing w:after="300"/>
      </w:pPr>
      <w:r>
        <w:rPr>
          <w:b/>
          <w:bCs/>
          <w:color w:val="1F2A44"/>
          <w:sz w:val="30"/>
          <w:szCs w:val="30"/>
        </w:rPr>
        <w:t xml:space="preserve">Final USP &amp; Go-to-Market Pipeline</w:t>
      </w:r>
    </w:p>
    <w:p>
      <w:pPr>
        <w:spacing w:after="160"/>
      </w:pPr>
      <w:r>
        <w:rPr>
          <w:i/>
          <w:iCs/>
          <w:color w:val="52514E"/>
          <w:sz w:val="21"/>
          <w:szCs w:val="21"/>
        </w:rPr>
        <w:t xml:space="preserve">Verified competitor landscape, USP framing, and the end-to-end acquisition-to-retention pipeline, reconciled from every prior strategy pass in this thread. Every competitor claim was checked against a live source before being kept — one earlier claim didn't survive the check and is corrected below, not quietly dropped.</w:t>
      </w:r>
    </w:p>
    <w:p>
      <w:pPr>
        <w:pStyle w:val="Heading1"/>
        <w:spacing w:after="160" w:before="320"/>
      </w:pPr>
      <w:r>
        <w:rPr>
          <w:b/>
          <w:bCs/>
          <w:color w:val="1F2A44"/>
          <w:sz w:val="30"/>
          <w:szCs w:val="30"/>
        </w:rPr>
        <w:t xml:space="preserve">1. Verified Competitor Landscape</w:t>
      </w:r>
    </w:p>
    <w:p>
      <w:pPr>
        <w:spacing w:after="160"/>
      </w:pPr>
      <w:r>
        <w:rPr>
          <w:color w:val="0B0B0B"/>
          <w:sz w:val="21"/>
          <w:szCs w:val="21"/>
        </w:rPr>
        <w:t xml:space="preserve">The market is real and fragmented across two clusters: Ad Grant compliance tools that don't know what FCRA is, and GEO/AI-visibility tools that don't know what a Google nonprofit grant is. No confirmed competitor combines Ad Grant eligibility intelligence, SEO/GEO diagnostics, and India-specific NGO compliance logic in one product.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310"/>
        <w:gridCol w:w="1050"/>
        <w:gridCol w:w="2800"/>
        <w:gridCol w:w="1220"/>
        <w:gridCol w:w="1400"/>
        <w:gridCol w:w="960"/>
        <w:gridCol w:w="960"/>
      </w:tblGrid>
      <w:tr>
        <w:trPr>
          <w:tblHeader/>
        </w:trPr>
        <w:tc>
          <w:tcPr>
            <w:tcW w:type="dxa" w:w="1310"/>
            <w:shd w:fill="1F2A44" w:val="clear"/>
            <w:tcMar>
              <w:top w:type="dxa" w:w="80"/>
              <w:left w:type="dxa" w:w="100"/>
              <w:bottom w:type="dxa" w:w="80"/>
              <w:right w:type="dxa" w:w="100"/>
            </w:tcMar>
          </w:tcPr>
          <w:p>
            <w:pPr>
              <w:jc w:val="left"/>
            </w:pPr>
            <w:r>
              <w:rPr>
                <w:b/>
                <w:bCs/>
                <w:color w:val="FFFFFF"/>
                <w:sz w:val="19"/>
                <w:szCs w:val="19"/>
              </w:rPr>
              <w:t xml:space="preserve">Competitor</w:t>
            </w:r>
          </w:p>
        </w:tc>
        <w:tc>
          <w:tcPr>
            <w:tcW w:type="dxa" w:w="1050"/>
            <w:shd w:fill="1F2A44" w:val="clear"/>
            <w:tcMar>
              <w:top w:type="dxa" w:w="80"/>
              <w:left w:type="dxa" w:w="100"/>
              <w:bottom w:type="dxa" w:w="80"/>
              <w:right w:type="dxa" w:w="100"/>
            </w:tcMar>
          </w:tcPr>
          <w:p>
            <w:pPr>
              <w:jc w:val="left"/>
            </w:pPr>
            <w:r>
              <w:rPr>
                <w:b/>
                <w:bCs/>
                <w:color w:val="FFFFFF"/>
                <w:sz w:val="19"/>
                <w:szCs w:val="19"/>
              </w:rPr>
              <w:t xml:space="preserve">Confirmed</w:t>
            </w:r>
          </w:p>
        </w:tc>
        <w:tc>
          <w:tcPr>
            <w:tcW w:type="dxa" w:w="2800"/>
            <w:shd w:fill="1F2A44" w:val="clear"/>
            <w:tcMar>
              <w:top w:type="dxa" w:w="80"/>
              <w:left w:type="dxa" w:w="100"/>
              <w:bottom w:type="dxa" w:w="80"/>
              <w:right w:type="dxa" w:w="100"/>
            </w:tcMar>
          </w:tcPr>
          <w:p>
            <w:pPr>
              <w:jc w:val="left"/>
            </w:pPr>
            <w:r>
              <w:rPr>
                <w:b/>
                <w:bCs/>
                <w:color w:val="FFFFFF"/>
                <w:sz w:val="19"/>
                <w:szCs w:val="19"/>
              </w:rPr>
              <w:t xml:space="preserve">What they do</w:t>
            </w:r>
          </w:p>
        </w:tc>
        <w:tc>
          <w:tcPr>
            <w:tcW w:type="dxa" w:w="1220"/>
            <w:shd w:fill="1F2A44" w:val="clear"/>
            <w:tcMar>
              <w:top w:type="dxa" w:w="80"/>
              <w:left w:type="dxa" w:w="100"/>
              <w:bottom w:type="dxa" w:w="80"/>
              <w:right w:type="dxa" w:w="100"/>
            </w:tcMar>
          </w:tcPr>
          <w:p>
            <w:pPr>
              <w:jc w:val="left"/>
            </w:pPr>
            <w:r>
              <w:rPr>
                <w:b/>
                <w:bCs/>
                <w:color w:val="FFFFFF"/>
                <w:sz w:val="19"/>
                <w:szCs w:val="19"/>
              </w:rPr>
              <w:t xml:space="preserve">NGO-specific</w:t>
            </w:r>
          </w:p>
        </w:tc>
        <w:tc>
          <w:tcPr>
            <w:tcW w:type="dxa" w:w="1400"/>
            <w:shd w:fill="1F2A44" w:val="clear"/>
            <w:tcMar>
              <w:top w:type="dxa" w:w="80"/>
              <w:left w:type="dxa" w:w="100"/>
              <w:bottom w:type="dxa" w:w="80"/>
              <w:right w:type="dxa" w:w="100"/>
            </w:tcMar>
          </w:tcPr>
          <w:p>
            <w:pPr>
              <w:jc w:val="left"/>
            </w:pPr>
            <w:r>
              <w:rPr>
                <w:b/>
                <w:bCs/>
                <w:color w:val="FFFFFF"/>
                <w:sz w:val="19"/>
                <w:szCs w:val="19"/>
              </w:rPr>
              <w:t xml:space="preserve">India/FCRA</w:t>
            </w:r>
          </w:p>
        </w:tc>
        <w:tc>
          <w:tcPr>
            <w:tcW w:type="dxa" w:w="960"/>
            <w:shd w:fill="1F2A44" w:val="clear"/>
            <w:tcMar>
              <w:top w:type="dxa" w:w="80"/>
              <w:left w:type="dxa" w:w="100"/>
              <w:bottom w:type="dxa" w:w="80"/>
              <w:right w:type="dxa" w:w="100"/>
            </w:tcMar>
          </w:tcPr>
          <w:p>
            <w:pPr>
              <w:jc w:val="left"/>
            </w:pPr>
            <w:r>
              <w:rPr>
                <w:b/>
                <w:bCs/>
                <w:color w:val="FFFFFF"/>
                <w:sz w:val="19"/>
                <w:szCs w:val="19"/>
              </w:rPr>
              <w:t xml:space="preserve">Ad Grants</w:t>
            </w:r>
          </w:p>
        </w:tc>
        <w:tc>
          <w:tcPr>
            <w:tcW w:type="dxa" w:w="960"/>
            <w:shd w:fill="1F2A44" w:val="clear"/>
            <w:tcMar>
              <w:top w:type="dxa" w:w="80"/>
              <w:left w:type="dxa" w:w="100"/>
              <w:bottom w:type="dxa" w:w="80"/>
              <w:right w:type="dxa" w:w="100"/>
            </w:tcMar>
          </w:tcPr>
          <w:p>
            <w:pPr>
              <w:jc w:val="left"/>
            </w:pPr>
            <w:r>
              <w:rPr>
                <w:b/>
                <w:bCs/>
                <w:color w:val="FFFFFF"/>
                <w:sz w:val="19"/>
                <w:szCs w:val="19"/>
              </w:rPr>
              <w:t xml:space="preserve">SEO/GEO</w:t>
            </w:r>
          </w:p>
        </w:tc>
      </w:tr>
      <w:tr>
        <w:tc>
          <w:tcPr>
            <w:tcW w:type="dxa" w:w="1310"/>
            <w:shd w:fill="FFFFFF" w:val="clear"/>
            <w:tcMar>
              <w:top w:type="dxa" w:w="80"/>
              <w:left w:type="dxa" w:w="100"/>
              <w:bottom w:type="dxa" w:w="80"/>
              <w:right w:type="dxa" w:w="100"/>
            </w:tcMar>
          </w:tcPr>
          <w:p>
            <w:pPr>
              <w:jc w:val="left"/>
            </w:pPr>
            <w:r>
              <w:rPr>
                <w:b w:val="false"/>
                <w:bCs w:val="false"/>
                <w:color w:val="0B0B0B"/>
                <w:sz w:val="19"/>
                <w:szCs w:val="19"/>
              </w:rPr>
              <w:t xml:space="preserve">GrantMax (grantmax.org)</w:t>
            </w:r>
          </w:p>
        </w:tc>
        <w:tc>
          <w:tcPr>
            <w:tcW w:type="dxa" w:w="1050"/>
            <w:shd w:fill="FFFFFF" w:val="clear"/>
            <w:tcMar>
              <w:top w:type="dxa" w:w="80"/>
              <w:left w:type="dxa" w:w="100"/>
              <w:bottom w:type="dxa" w:w="80"/>
              <w:right w:type="dxa" w:w="100"/>
            </w:tcMar>
          </w:tcPr>
          <w:p>
            <w:pPr>
              <w:jc w:val="left"/>
            </w:pPr>
            <w:r>
              <w:rPr>
                <w:b w:val="false"/>
                <w:bCs w:val="false"/>
                <w:color w:val="0B0B0B"/>
                <w:sz w:val="19"/>
                <w:szCs w:val="19"/>
              </w:rPr>
              <w:t xml:space="preserve">Confirmed live</w:t>
            </w:r>
          </w:p>
        </w:tc>
        <w:tc>
          <w:tcPr>
            <w:tcW w:type="dxa" w:w="2800"/>
            <w:shd w:fill="FFFFFF" w:val="clear"/>
            <w:tcMar>
              <w:top w:type="dxa" w:w="80"/>
              <w:left w:type="dxa" w:w="100"/>
              <w:bottom w:type="dxa" w:w="80"/>
              <w:right w:type="dxa" w:w="100"/>
            </w:tcMar>
          </w:tcPr>
          <w:p>
            <w:pPr>
              <w:jc w:val="left"/>
            </w:pPr>
            <w:r>
              <w:rPr>
                <w:b w:val="false"/>
                <w:bCs w:val="false"/>
                <w:color w:val="0B0B0B"/>
                <w:sz w:val="19"/>
                <w:szCs w:val="19"/>
              </w:rPr>
              <w:t xml:space="preserve">Free Ad Grants compliance audit — 15+ checks, health score, daily monitoring on paid tier</w:t>
            </w:r>
          </w:p>
        </w:tc>
        <w:tc>
          <w:tcPr>
            <w:tcW w:type="dxa" w:w="1220"/>
            <w:shd w:fill="FFFFFF" w:val="clear"/>
            <w:tcMar>
              <w:top w:type="dxa" w:w="80"/>
              <w:left w:type="dxa" w:w="100"/>
              <w:bottom w:type="dxa" w:w="80"/>
              <w:right w:type="dxa" w:w="100"/>
            </w:tcMar>
          </w:tcPr>
          <w:p>
            <w:pPr>
              <w:jc w:val="left"/>
            </w:pPr>
            <w:r>
              <w:rPr>
                <w:b w:val="false"/>
                <w:bCs w:val="false"/>
                <w:color w:val="0B0B0B"/>
                <w:sz w:val="19"/>
                <w:szCs w:val="19"/>
              </w:rPr>
              <w:t xml:space="preserve">Nonprofit-general</w:t>
            </w:r>
          </w:p>
        </w:tc>
        <w:tc>
          <w:tcPr>
            <w:tcW w:type="dxa" w:w="1400"/>
            <w:shd w:fill="FFFFFF" w:val="clear"/>
            <w:tcMar>
              <w:top w:type="dxa" w:w="80"/>
              <w:left w:type="dxa" w:w="100"/>
              <w:bottom w:type="dxa" w:w="80"/>
              <w:right w:type="dxa" w:w="100"/>
            </w:tcMar>
          </w:tcPr>
          <w:p>
            <w:pPr>
              <w:jc w:val="left"/>
            </w:pPr>
            <w:r>
              <w:rPr>
                <w:b w:val="false"/>
                <w:bCs w:val="false"/>
                <w:color w:val="0B0B0B"/>
                <w:sz w:val="19"/>
                <w:szCs w:val="19"/>
              </w:rPr>
              <w:t xml:space="preserve">No</w:t>
            </w:r>
          </w:p>
        </w:tc>
        <w:tc>
          <w:tcPr>
            <w:tcW w:type="dxa" w:w="960"/>
            <w:shd w:fill="FFFFFF" w:val="clear"/>
            <w:tcMar>
              <w:top w:type="dxa" w:w="80"/>
              <w:left w:type="dxa" w:w="100"/>
              <w:bottom w:type="dxa" w:w="80"/>
              <w:right w:type="dxa" w:w="100"/>
            </w:tcMar>
          </w:tcPr>
          <w:p>
            <w:pPr>
              <w:jc w:val="left"/>
            </w:pPr>
            <w:r>
              <w:rPr>
                <w:b w:val="false"/>
                <w:bCs w:val="false"/>
                <w:color w:val="0B0B0B"/>
                <w:sz w:val="19"/>
                <w:szCs w:val="19"/>
              </w:rPr>
              <w:t xml:space="preserve">Core product</w:t>
            </w:r>
          </w:p>
        </w:tc>
        <w:tc>
          <w:tcPr>
            <w:tcW w:type="dxa" w:w="960"/>
            <w:shd w:fill="FFFFFF" w:val="clear"/>
            <w:tcMar>
              <w:top w:type="dxa" w:w="80"/>
              <w:left w:type="dxa" w:w="100"/>
              <w:bottom w:type="dxa" w:w="80"/>
              <w:right w:type="dxa" w:w="100"/>
            </w:tcMar>
          </w:tcPr>
          <w:p>
            <w:pPr>
              <w:jc w:val="left"/>
            </w:pPr>
            <w:r>
              <w:rPr>
                <w:b w:val="false"/>
                <w:bCs w:val="false"/>
                <w:color w:val="0B0B0B"/>
                <w:sz w:val="19"/>
                <w:szCs w:val="19"/>
              </w:rPr>
              <w:t xml:space="preserve">No</w:t>
            </w:r>
          </w:p>
        </w:tc>
      </w:tr>
      <w:tr>
        <w:tc>
          <w:tcPr>
            <w:tcW w:type="dxa" w:w="1310"/>
            <w:shd w:fill="F2F2F0" w:val="clear"/>
            <w:tcMar>
              <w:top w:type="dxa" w:w="80"/>
              <w:left w:type="dxa" w:w="100"/>
              <w:bottom w:type="dxa" w:w="80"/>
              <w:right w:type="dxa" w:w="100"/>
            </w:tcMar>
          </w:tcPr>
          <w:p>
            <w:pPr>
              <w:jc w:val="left"/>
            </w:pPr>
            <w:r>
              <w:rPr>
                <w:b w:val="false"/>
                <w:bCs w:val="false"/>
                <w:color w:val="0B0B0B"/>
                <w:sz w:val="19"/>
                <w:szCs w:val="19"/>
              </w:rPr>
              <w:t xml:space="preserve">nonprofittop.com Toolkit</w:t>
            </w:r>
          </w:p>
        </w:tc>
        <w:tc>
          <w:tcPr>
            <w:tcW w:type="dxa" w:w="1050"/>
            <w:shd w:fill="F2F2F0" w:val="clear"/>
            <w:tcMar>
              <w:top w:type="dxa" w:w="80"/>
              <w:left w:type="dxa" w:w="100"/>
              <w:bottom w:type="dxa" w:w="80"/>
              <w:right w:type="dxa" w:w="100"/>
            </w:tcMar>
          </w:tcPr>
          <w:p>
            <w:pPr>
              <w:jc w:val="left"/>
            </w:pPr>
            <w:r>
              <w:rPr>
                <w:b w:val="false"/>
                <w:bCs w:val="false"/>
                <w:color w:val="0B0B0B"/>
                <w:sz w:val="19"/>
                <w:szCs w:val="19"/>
              </w:rPr>
              <w:t xml:space="preserve">Confirmed live</w:t>
            </w:r>
          </w:p>
        </w:tc>
        <w:tc>
          <w:tcPr>
            <w:tcW w:type="dxa" w:w="2800"/>
            <w:shd w:fill="F2F2F0" w:val="clear"/>
            <w:tcMar>
              <w:top w:type="dxa" w:w="80"/>
              <w:left w:type="dxa" w:w="100"/>
              <w:bottom w:type="dxa" w:w="80"/>
              <w:right w:type="dxa" w:w="100"/>
            </w:tcMar>
          </w:tcPr>
          <w:p>
            <w:pPr>
              <w:jc w:val="left"/>
            </w:pPr>
            <w:r>
              <w:rPr>
                <w:b w:val="false"/>
                <w:bCs w:val="false"/>
                <w:color w:val="0B0B0B"/>
                <w:sz w:val="19"/>
                <w:szCs w:val="19"/>
              </w:rPr>
              <w:t xml:space="preserve">Free 50-check Ad Grants audit, live account connect, €99/mo managed upsell</w:t>
            </w:r>
          </w:p>
        </w:tc>
        <w:tc>
          <w:tcPr>
            <w:tcW w:type="dxa" w:w="1220"/>
            <w:shd w:fill="F2F2F0" w:val="clear"/>
            <w:tcMar>
              <w:top w:type="dxa" w:w="80"/>
              <w:left w:type="dxa" w:w="100"/>
              <w:bottom w:type="dxa" w:w="80"/>
              <w:right w:type="dxa" w:w="100"/>
            </w:tcMar>
          </w:tcPr>
          <w:p>
            <w:pPr>
              <w:jc w:val="left"/>
            </w:pPr>
            <w:r>
              <w:rPr>
                <w:b w:val="false"/>
                <w:bCs w:val="false"/>
                <w:color w:val="0B0B0B"/>
                <w:sz w:val="19"/>
                <w:szCs w:val="19"/>
              </w:rPr>
              <w:t xml:space="preserve">Nonprofit-general</w:t>
            </w:r>
          </w:p>
        </w:tc>
        <w:tc>
          <w:tcPr>
            <w:tcW w:type="dxa" w:w="1400"/>
            <w:shd w:fill="F2F2F0" w:val="clear"/>
            <w:tcMar>
              <w:top w:type="dxa" w:w="80"/>
              <w:left w:type="dxa" w:w="100"/>
              <w:bottom w:type="dxa" w:w="80"/>
              <w:right w:type="dxa" w:w="100"/>
            </w:tcMar>
          </w:tcPr>
          <w:p>
            <w:pPr>
              <w:jc w:val="left"/>
            </w:pPr>
            <w:r>
              <w:rPr>
                <w:b w:val="false"/>
                <w:bCs w:val="false"/>
                <w:color w:val="0B0B0B"/>
                <w:sz w:val="19"/>
                <w:szCs w:val="19"/>
              </w:rPr>
              <w:t xml:space="preserve">No</w:t>
            </w:r>
          </w:p>
        </w:tc>
        <w:tc>
          <w:tcPr>
            <w:tcW w:type="dxa" w:w="960"/>
            <w:shd w:fill="F2F2F0" w:val="clear"/>
            <w:tcMar>
              <w:top w:type="dxa" w:w="80"/>
              <w:left w:type="dxa" w:w="100"/>
              <w:bottom w:type="dxa" w:w="80"/>
              <w:right w:type="dxa" w:w="100"/>
            </w:tcMar>
          </w:tcPr>
          <w:p>
            <w:pPr>
              <w:jc w:val="left"/>
            </w:pPr>
            <w:r>
              <w:rPr>
                <w:b w:val="false"/>
                <w:bCs w:val="false"/>
                <w:color w:val="0B0B0B"/>
                <w:sz w:val="19"/>
                <w:szCs w:val="19"/>
              </w:rPr>
              <w:t xml:space="preserve">Core product</w:t>
            </w:r>
          </w:p>
        </w:tc>
        <w:tc>
          <w:tcPr>
            <w:tcW w:type="dxa" w:w="960"/>
            <w:shd w:fill="F2F2F0" w:val="clear"/>
            <w:tcMar>
              <w:top w:type="dxa" w:w="80"/>
              <w:left w:type="dxa" w:w="100"/>
              <w:bottom w:type="dxa" w:w="80"/>
              <w:right w:type="dxa" w:w="100"/>
            </w:tcMar>
          </w:tcPr>
          <w:p>
            <w:pPr>
              <w:jc w:val="left"/>
            </w:pPr>
            <w:r>
              <w:rPr>
                <w:b w:val="false"/>
                <w:bCs w:val="false"/>
                <w:color w:val="0B0B0B"/>
                <w:sz w:val="19"/>
                <w:szCs w:val="19"/>
              </w:rPr>
              <w:t xml:space="preserve">No</w:t>
            </w:r>
          </w:p>
        </w:tc>
      </w:tr>
      <w:tr>
        <w:tc>
          <w:tcPr>
            <w:tcW w:type="dxa" w:w="1310"/>
            <w:shd w:fill="FFFFFF" w:val="clear"/>
            <w:tcMar>
              <w:top w:type="dxa" w:w="80"/>
              <w:left w:type="dxa" w:w="100"/>
              <w:bottom w:type="dxa" w:w="80"/>
              <w:right w:type="dxa" w:w="100"/>
            </w:tcMar>
          </w:tcPr>
          <w:p>
            <w:pPr>
              <w:jc w:val="left"/>
            </w:pPr>
            <w:r>
              <w:rPr>
                <w:b w:val="false"/>
                <w:bCs w:val="false"/>
                <w:color w:val="0B0B0B"/>
                <w:sz w:val="19"/>
                <w:szCs w:val="19"/>
              </w:rPr>
              <w:t xml:space="preserve">Ad Grant agencies (Community Boost, DNL OmniMedia, Karma Campaigns, etc.)</w:t>
            </w:r>
          </w:p>
        </w:tc>
        <w:tc>
          <w:tcPr>
            <w:tcW w:type="dxa" w:w="1050"/>
            <w:shd w:fill="FFFFFF" w:val="clear"/>
            <w:tcMar>
              <w:top w:type="dxa" w:w="80"/>
              <w:left w:type="dxa" w:w="100"/>
              <w:bottom w:type="dxa" w:w="80"/>
              <w:right w:type="dxa" w:w="100"/>
            </w:tcMar>
          </w:tcPr>
          <w:p>
            <w:pPr>
              <w:jc w:val="left"/>
            </w:pPr>
            <w:r>
              <w:rPr>
                <w:b w:val="false"/>
                <w:bCs w:val="false"/>
                <w:color w:val="0B0B0B"/>
                <w:sz w:val="19"/>
                <w:szCs w:val="19"/>
              </w:rPr>
              <w:t xml:space="preserve">Confirmed real category</w:t>
            </w:r>
          </w:p>
        </w:tc>
        <w:tc>
          <w:tcPr>
            <w:tcW w:type="dxa" w:w="2800"/>
            <w:shd w:fill="FFFFFF" w:val="clear"/>
            <w:tcMar>
              <w:top w:type="dxa" w:w="80"/>
              <w:left w:type="dxa" w:w="100"/>
              <w:bottom w:type="dxa" w:w="80"/>
              <w:right w:type="dxa" w:w="100"/>
            </w:tcMar>
          </w:tcPr>
          <w:p>
            <w:pPr>
              <w:jc w:val="left"/>
            </w:pPr>
            <w:r>
              <w:rPr>
                <w:b w:val="false"/>
                <w:bCs w:val="false"/>
                <w:color w:val="0B0B0B"/>
                <w:sz w:val="19"/>
                <w:szCs w:val="19"/>
              </w:rPr>
              <w:t xml:space="preserve">“Give us access, we manage your grant” — full-service, not self-serve</w:t>
            </w:r>
          </w:p>
        </w:tc>
        <w:tc>
          <w:tcPr>
            <w:tcW w:type="dxa" w:w="1220"/>
            <w:shd w:fill="FFFFFF" w:val="clear"/>
            <w:tcMar>
              <w:top w:type="dxa" w:w="80"/>
              <w:left w:type="dxa" w:w="100"/>
              <w:bottom w:type="dxa" w:w="80"/>
              <w:right w:type="dxa" w:w="100"/>
            </w:tcMar>
          </w:tcPr>
          <w:p>
            <w:pPr>
              <w:jc w:val="left"/>
            </w:pPr>
            <w:r>
              <w:rPr>
                <w:b w:val="false"/>
                <w:bCs w:val="false"/>
                <w:color w:val="0B0B0B"/>
                <w:sz w:val="19"/>
                <w:szCs w:val="19"/>
              </w:rPr>
              <w:t xml:space="preserve">Yes</w:t>
            </w:r>
          </w:p>
        </w:tc>
        <w:tc>
          <w:tcPr>
            <w:tcW w:type="dxa" w:w="1400"/>
            <w:shd w:fill="FFFFFF" w:val="clear"/>
            <w:tcMar>
              <w:top w:type="dxa" w:w="80"/>
              <w:left w:type="dxa" w:w="100"/>
              <w:bottom w:type="dxa" w:w="80"/>
              <w:right w:type="dxa" w:w="100"/>
            </w:tcMar>
          </w:tcPr>
          <w:p>
            <w:pPr>
              <w:jc w:val="left"/>
            </w:pPr>
            <w:r>
              <w:rPr>
                <w:b w:val="false"/>
                <w:bCs w:val="false"/>
                <w:color w:val="0B0B0B"/>
                <w:sz w:val="19"/>
                <w:szCs w:val="19"/>
              </w:rPr>
              <w:t xml:space="preserve">Partial, not productized</w:t>
            </w:r>
          </w:p>
        </w:tc>
        <w:tc>
          <w:tcPr>
            <w:tcW w:type="dxa" w:w="960"/>
            <w:shd w:fill="FFFFFF" w:val="clear"/>
            <w:tcMar>
              <w:top w:type="dxa" w:w="80"/>
              <w:left w:type="dxa" w:w="100"/>
              <w:bottom w:type="dxa" w:w="80"/>
              <w:right w:type="dxa" w:w="100"/>
            </w:tcMar>
          </w:tcPr>
          <w:p>
            <w:pPr>
              <w:jc w:val="left"/>
            </w:pPr>
            <w:r>
              <w:rPr>
                <w:b w:val="false"/>
                <w:bCs w:val="false"/>
                <w:color w:val="0B0B0B"/>
                <w:sz w:val="19"/>
                <w:szCs w:val="19"/>
              </w:rPr>
              <w:t xml:space="preserve">Yes</w:t>
            </w:r>
          </w:p>
        </w:tc>
        <w:tc>
          <w:tcPr>
            <w:tcW w:type="dxa" w:w="960"/>
            <w:shd w:fill="FFFFFF" w:val="clear"/>
            <w:tcMar>
              <w:top w:type="dxa" w:w="80"/>
              <w:left w:type="dxa" w:w="100"/>
              <w:bottom w:type="dxa" w:w="80"/>
              <w:right w:type="dxa" w:w="100"/>
            </w:tcMar>
          </w:tcPr>
          <w:p>
            <w:pPr>
              <w:jc w:val="left"/>
            </w:pPr>
            <w:r>
              <w:rPr>
                <w:b w:val="false"/>
                <w:bCs w:val="false"/>
                <w:color w:val="0B0B0B"/>
                <w:sz w:val="19"/>
                <w:szCs w:val="19"/>
              </w:rPr>
              <w:t xml:space="preserve">Partial</w:t>
            </w:r>
          </w:p>
        </w:tc>
      </w:tr>
      <w:tr>
        <w:tc>
          <w:tcPr>
            <w:tcW w:type="dxa" w:w="1310"/>
            <w:shd w:fill="F2F2F0" w:val="clear"/>
            <w:tcMar>
              <w:top w:type="dxa" w:w="80"/>
              <w:left w:type="dxa" w:w="100"/>
              <w:bottom w:type="dxa" w:w="80"/>
              <w:right w:type="dxa" w:w="100"/>
            </w:tcMar>
          </w:tcPr>
          <w:p>
            <w:pPr>
              <w:jc w:val="left"/>
            </w:pPr>
            <w:r>
              <w:rPr>
                <w:b w:val="false"/>
                <w:bCs w:val="false"/>
                <w:color w:val="0B0B0B"/>
                <w:sz w:val="19"/>
                <w:szCs w:val="19"/>
              </w:rPr>
              <w:t xml:space="preserve">GEO Visibility (geovisibility.in/.ai)</w:t>
            </w:r>
          </w:p>
        </w:tc>
        <w:tc>
          <w:tcPr>
            <w:tcW w:type="dxa" w:w="1050"/>
            <w:shd w:fill="F2F2F0" w:val="clear"/>
            <w:tcMar>
              <w:top w:type="dxa" w:w="80"/>
              <w:left w:type="dxa" w:w="100"/>
              <w:bottom w:type="dxa" w:w="80"/>
              <w:right w:type="dxa" w:w="100"/>
            </w:tcMar>
          </w:tcPr>
          <w:p>
            <w:pPr>
              <w:jc w:val="left"/>
            </w:pPr>
            <w:r>
              <w:rPr>
                <w:b w:val="false"/>
                <w:bCs w:val="false"/>
                <w:color w:val="0B0B0B"/>
                <w:sz w:val="19"/>
                <w:szCs w:val="19"/>
              </w:rPr>
              <w:t xml:space="preserve">Confirmed live</w:t>
            </w:r>
          </w:p>
        </w:tc>
        <w:tc>
          <w:tcPr>
            <w:tcW w:type="dxa" w:w="2800"/>
            <w:shd w:fill="F2F2F0" w:val="clear"/>
            <w:tcMar>
              <w:top w:type="dxa" w:w="80"/>
              <w:left w:type="dxa" w:w="100"/>
              <w:bottom w:type="dxa" w:w="80"/>
              <w:right w:type="dxa" w:w="100"/>
            </w:tcMar>
          </w:tcPr>
          <w:p>
            <w:pPr>
              <w:jc w:val="left"/>
            </w:pPr>
            <w:r>
              <w:rPr>
                <w:b w:val="false"/>
                <w:bCs w:val="false"/>
                <w:color w:val="0B0B0B"/>
                <w:sz w:val="19"/>
                <w:szCs w:val="19"/>
              </w:rPr>
              <w:t xml:space="preserve">~3-min audit: SEO + GEO + LLM visibility score across ChatGPT/Claude/Gemini/Perplexity</w:t>
            </w:r>
          </w:p>
        </w:tc>
        <w:tc>
          <w:tcPr>
            <w:tcW w:type="dxa" w:w="1220"/>
            <w:shd w:fill="F2F2F0" w:val="clear"/>
            <w:tcMar>
              <w:top w:type="dxa" w:w="80"/>
              <w:left w:type="dxa" w:w="100"/>
              <w:bottom w:type="dxa" w:w="80"/>
              <w:right w:type="dxa" w:w="100"/>
            </w:tcMar>
          </w:tcPr>
          <w:p>
            <w:pPr>
              <w:jc w:val="left"/>
            </w:pPr>
            <w:r>
              <w:rPr>
                <w:b w:val="false"/>
                <w:bCs w:val="false"/>
                <w:color w:val="0B0B0B"/>
                <w:sz w:val="19"/>
                <w:szCs w:val="19"/>
              </w:rPr>
              <w:t xml:space="preserve">No, generic</w:t>
            </w:r>
          </w:p>
        </w:tc>
        <w:tc>
          <w:tcPr>
            <w:tcW w:type="dxa" w:w="1400"/>
            <w:shd w:fill="F2F2F0" w:val="clear"/>
            <w:tcMar>
              <w:top w:type="dxa" w:w="80"/>
              <w:left w:type="dxa" w:w="100"/>
              <w:bottom w:type="dxa" w:w="80"/>
              <w:right w:type="dxa" w:w="100"/>
            </w:tcMar>
          </w:tcPr>
          <w:p>
            <w:pPr>
              <w:jc w:val="left"/>
            </w:pPr>
            <w:r>
              <w:rPr>
                <w:b w:val="false"/>
                <w:bCs w:val="false"/>
                <w:color w:val="0B0B0B"/>
                <w:sz w:val="19"/>
                <w:szCs w:val="19"/>
              </w:rPr>
              <w:t xml:space="preserve">No</w:t>
            </w:r>
          </w:p>
        </w:tc>
        <w:tc>
          <w:tcPr>
            <w:tcW w:type="dxa" w:w="960"/>
            <w:shd w:fill="F2F2F0" w:val="clear"/>
            <w:tcMar>
              <w:top w:type="dxa" w:w="80"/>
              <w:left w:type="dxa" w:w="100"/>
              <w:bottom w:type="dxa" w:w="80"/>
              <w:right w:type="dxa" w:w="100"/>
            </w:tcMar>
          </w:tcPr>
          <w:p>
            <w:pPr>
              <w:jc w:val="left"/>
            </w:pPr>
            <w:r>
              <w:rPr>
                <w:b w:val="false"/>
                <w:bCs w:val="false"/>
                <w:color w:val="0B0B0B"/>
                <w:sz w:val="19"/>
                <w:szCs w:val="19"/>
              </w:rPr>
              <w:t xml:space="preserve">No</w:t>
            </w:r>
          </w:p>
        </w:tc>
        <w:tc>
          <w:tcPr>
            <w:tcW w:type="dxa" w:w="960"/>
            <w:shd w:fill="F2F2F0" w:val="clear"/>
            <w:tcMar>
              <w:top w:type="dxa" w:w="80"/>
              <w:left w:type="dxa" w:w="100"/>
              <w:bottom w:type="dxa" w:w="80"/>
              <w:right w:type="dxa" w:w="100"/>
            </w:tcMar>
          </w:tcPr>
          <w:p>
            <w:pPr>
              <w:jc w:val="left"/>
            </w:pPr>
            <w:r>
              <w:rPr>
                <w:b w:val="false"/>
                <w:bCs w:val="false"/>
                <w:color w:val="0B0B0B"/>
                <w:sz w:val="19"/>
                <w:szCs w:val="19"/>
              </w:rPr>
              <w:t xml:space="preserve">Core product</w:t>
            </w:r>
          </w:p>
        </w:tc>
      </w:tr>
      <w:tr>
        <w:tc>
          <w:tcPr>
            <w:tcW w:type="dxa" w:w="1310"/>
            <w:shd w:fill="FFFFFF" w:val="clear"/>
            <w:tcMar>
              <w:top w:type="dxa" w:w="80"/>
              <w:left w:type="dxa" w:w="100"/>
              <w:bottom w:type="dxa" w:w="80"/>
              <w:right w:type="dxa" w:w="100"/>
            </w:tcMar>
          </w:tcPr>
          <w:p>
            <w:pPr>
              <w:jc w:val="left"/>
            </w:pPr>
            <w:r>
              <w:rPr>
                <w:b w:val="false"/>
                <w:bCs w:val="false"/>
                <w:color w:val="0B0B0B"/>
                <w:sz w:val="19"/>
                <w:szCs w:val="19"/>
              </w:rPr>
              <w:t xml:space="preserve">RankMac</w:t>
            </w:r>
          </w:p>
        </w:tc>
        <w:tc>
          <w:tcPr>
            <w:tcW w:type="dxa" w:w="1050"/>
            <w:shd w:fill="FFFFFF" w:val="clear"/>
            <w:tcMar>
              <w:top w:type="dxa" w:w="80"/>
              <w:left w:type="dxa" w:w="100"/>
              <w:bottom w:type="dxa" w:w="80"/>
              <w:right w:type="dxa" w:w="100"/>
            </w:tcMar>
          </w:tcPr>
          <w:p>
            <w:pPr>
              <w:jc w:val="left"/>
            </w:pPr>
            <w:r>
              <w:rPr>
                <w:b w:val="false"/>
                <w:bCs w:val="false"/>
                <w:color w:val="0B0B0B"/>
                <w:sz w:val="19"/>
                <w:szCs w:val="19"/>
              </w:rPr>
              <w:t xml:space="preserve">Confirmed live agency</w:t>
            </w:r>
          </w:p>
        </w:tc>
        <w:tc>
          <w:tcPr>
            <w:tcW w:type="dxa" w:w="2800"/>
            <w:shd w:fill="FFFFFF" w:val="clear"/>
            <w:tcMar>
              <w:top w:type="dxa" w:w="80"/>
              <w:left w:type="dxa" w:w="100"/>
              <w:bottom w:type="dxa" w:w="80"/>
              <w:right w:type="dxa" w:w="100"/>
            </w:tcMar>
          </w:tcPr>
          <w:p>
            <w:pPr>
              <w:jc w:val="left"/>
            </w:pPr>
            <w:r>
              <w:rPr>
                <w:b w:val="false"/>
                <w:bCs w:val="false"/>
                <w:color w:val="0B0B0B"/>
                <w:sz w:val="19"/>
                <w:szCs w:val="19"/>
              </w:rPr>
              <w:t xml:space="preserve">NGO-targeted SEO/GEO/AEO services, free audit funnel, ₹8,999–₹34,999/mo</w:t>
            </w:r>
          </w:p>
        </w:tc>
        <w:tc>
          <w:tcPr>
            <w:tcW w:type="dxa" w:w="1220"/>
            <w:shd w:fill="FFFFFF" w:val="clear"/>
            <w:tcMar>
              <w:top w:type="dxa" w:w="80"/>
              <w:left w:type="dxa" w:w="100"/>
              <w:bottom w:type="dxa" w:w="80"/>
              <w:right w:type="dxa" w:w="100"/>
            </w:tcMar>
          </w:tcPr>
          <w:p>
            <w:pPr>
              <w:jc w:val="left"/>
            </w:pPr>
            <w:r>
              <w:rPr>
                <w:b w:val="false"/>
                <w:bCs w:val="false"/>
                <w:color w:val="0B0B0B"/>
                <w:sz w:val="19"/>
                <w:szCs w:val="19"/>
              </w:rPr>
              <w:t xml:space="preserve">Yes, markets to NGOs</w:t>
            </w:r>
          </w:p>
        </w:tc>
        <w:tc>
          <w:tcPr>
            <w:tcW w:type="dxa" w:w="1400"/>
            <w:shd w:fill="FFFFFF" w:val="clear"/>
            <w:tcMar>
              <w:top w:type="dxa" w:w="80"/>
              <w:left w:type="dxa" w:w="100"/>
              <w:bottom w:type="dxa" w:w="80"/>
              <w:right w:type="dxa" w:w="100"/>
            </w:tcMar>
          </w:tcPr>
          <w:p>
            <w:pPr>
              <w:jc w:val="left"/>
            </w:pPr>
            <w:r>
              <w:rPr>
                <w:b w:val="false"/>
                <w:bCs w:val="false"/>
                <w:color w:val="0B0B0B"/>
                <w:sz w:val="19"/>
                <w:szCs w:val="19"/>
              </w:rPr>
              <w:t xml:space="preserve">No</w:t>
            </w:r>
          </w:p>
        </w:tc>
        <w:tc>
          <w:tcPr>
            <w:tcW w:type="dxa" w:w="960"/>
            <w:shd w:fill="FFFFFF" w:val="clear"/>
            <w:tcMar>
              <w:top w:type="dxa" w:w="80"/>
              <w:left w:type="dxa" w:w="100"/>
              <w:bottom w:type="dxa" w:w="80"/>
              <w:right w:type="dxa" w:w="100"/>
            </w:tcMar>
          </w:tcPr>
          <w:p>
            <w:pPr>
              <w:jc w:val="left"/>
            </w:pPr>
            <w:r>
              <w:rPr>
                <w:b w:val="false"/>
                <w:bCs w:val="false"/>
                <w:color w:val="0B0B0B"/>
                <w:sz w:val="19"/>
                <w:szCs w:val="19"/>
              </w:rPr>
              <w:t xml:space="preserve">No</w:t>
            </w:r>
          </w:p>
        </w:tc>
        <w:tc>
          <w:tcPr>
            <w:tcW w:type="dxa" w:w="960"/>
            <w:shd w:fill="FFFFFF" w:val="clear"/>
            <w:tcMar>
              <w:top w:type="dxa" w:w="80"/>
              <w:left w:type="dxa" w:w="100"/>
              <w:bottom w:type="dxa" w:w="80"/>
              <w:right w:type="dxa" w:w="100"/>
            </w:tcMar>
          </w:tcPr>
          <w:p>
            <w:pPr>
              <w:jc w:val="left"/>
            </w:pPr>
            <w:r>
              <w:rPr>
                <w:b w:val="false"/>
                <w:bCs w:val="false"/>
                <w:color w:val="0B0B0B"/>
                <w:sz w:val="19"/>
                <w:szCs w:val="19"/>
              </w:rPr>
              <w:t xml:space="preserve">Yes</w:t>
            </w:r>
          </w:p>
        </w:tc>
      </w:tr>
      <w:tr>
        <w:tc>
          <w:tcPr>
            <w:tcW w:type="dxa" w:w="1310"/>
            <w:shd w:fill="FDEEEE" w:val="clear"/>
            <w:tcMar>
              <w:top w:type="dxa" w:w="80"/>
              <w:left w:type="dxa" w:w="100"/>
              <w:bottom w:type="dxa" w:w="80"/>
              <w:right w:type="dxa" w:w="100"/>
            </w:tcMar>
          </w:tcPr>
          <w:p>
            <w:pPr>
              <w:jc w:val="left"/>
            </w:pPr>
            <w:r>
              <w:rPr>
                <w:b w:val="false"/>
                <w:bCs w:val="false"/>
                <w:color w:val="0B0B0B"/>
                <w:sz w:val="19"/>
                <w:szCs w:val="19"/>
              </w:rPr>
              <w:t xml:space="preserve">GeoIQ</w:t>
            </w:r>
          </w:p>
        </w:tc>
        <w:tc>
          <w:tcPr>
            <w:tcW w:type="dxa" w:w="1050"/>
            <w:shd w:fill="FDEEEE" w:val="clear"/>
            <w:tcMar>
              <w:top w:type="dxa" w:w="80"/>
              <w:left w:type="dxa" w:w="100"/>
              <w:bottom w:type="dxa" w:w="80"/>
              <w:right w:type="dxa" w:w="100"/>
            </w:tcMar>
          </w:tcPr>
          <w:p>
            <w:pPr>
              <w:jc w:val="left"/>
            </w:pPr>
            <w:r>
              <w:rPr>
                <w:b/>
                <w:bCs/>
                <w:color w:val="D03B3B"/>
                <w:sz w:val="19"/>
                <w:szCs w:val="19"/>
              </w:rPr>
              <w:t xml:space="preserve">NOT a match — correction</w:t>
            </w:r>
          </w:p>
        </w:tc>
        <w:tc>
          <w:tcPr>
            <w:tcW w:type="dxa" w:w="2800"/>
            <w:shd w:fill="FDEEEE" w:val="clear"/>
            <w:tcMar>
              <w:top w:type="dxa" w:w="80"/>
              <w:left w:type="dxa" w:w="100"/>
              <w:bottom w:type="dxa" w:w="80"/>
              <w:right w:type="dxa" w:w="100"/>
            </w:tcMar>
          </w:tcPr>
          <w:p>
            <w:pPr>
              <w:jc w:val="left"/>
            </w:pPr>
            <w:r>
              <w:rPr>
                <w:b w:val="false"/>
                <w:bCs w:val="false"/>
                <w:color w:val="0B0B0B"/>
                <w:sz w:val="19"/>
                <w:szCs w:val="19"/>
              </w:rPr>
              <w:t xml:space="preserve">Real company (geoiq.ai, Bengaluru, $3.35M raised) is a RETAIL LOCATION-INTELLIGENCE platform (site selection, footfall analysis for brands like Lenskart). Unrelated to AI-search/GEO visibility. An earlier pass mistook the name and didn't check.</w:t>
            </w:r>
          </w:p>
        </w:tc>
        <w:tc>
          <w:tcPr>
            <w:tcW w:type="dxa" w:w="1220"/>
            <w:shd w:fill="FDEEEE" w:val="clear"/>
            <w:tcMar>
              <w:top w:type="dxa" w:w="80"/>
              <w:left w:type="dxa" w:w="100"/>
              <w:bottom w:type="dxa" w:w="80"/>
              <w:right w:type="dxa" w:w="100"/>
            </w:tcMar>
          </w:tcPr>
          <w:p>
            <w:pPr>
              <w:jc w:val="left"/>
            </w:pPr>
            <w:r>
              <w:rPr>
                <w:b w:val="false"/>
                <w:bCs w:val="false"/>
                <w:color w:val="0B0B0B"/>
                <w:sz w:val="19"/>
                <w:szCs w:val="19"/>
              </w:rPr>
              <w:t xml:space="preserve">—</w:t>
            </w:r>
          </w:p>
        </w:tc>
        <w:tc>
          <w:tcPr>
            <w:tcW w:type="dxa" w:w="1400"/>
            <w:shd w:fill="FDEEEE" w:val="clear"/>
            <w:tcMar>
              <w:top w:type="dxa" w:w="80"/>
              <w:left w:type="dxa" w:w="100"/>
              <w:bottom w:type="dxa" w:w="80"/>
              <w:right w:type="dxa" w:w="100"/>
            </w:tcMar>
          </w:tcPr>
          <w:p>
            <w:pPr>
              <w:jc w:val="left"/>
            </w:pPr>
            <w:r>
              <w:rPr>
                <w:b w:val="false"/>
                <w:bCs w:val="false"/>
                <w:color w:val="0B0B0B"/>
                <w:sz w:val="19"/>
                <w:szCs w:val="19"/>
              </w:rPr>
              <w:t xml:space="preserve">—</w:t>
            </w:r>
          </w:p>
        </w:tc>
        <w:tc>
          <w:tcPr>
            <w:tcW w:type="dxa" w:w="960"/>
            <w:shd w:fill="FDEEEE" w:val="clear"/>
            <w:tcMar>
              <w:top w:type="dxa" w:w="80"/>
              <w:left w:type="dxa" w:w="100"/>
              <w:bottom w:type="dxa" w:w="80"/>
              <w:right w:type="dxa" w:w="100"/>
            </w:tcMar>
          </w:tcPr>
          <w:p>
            <w:pPr>
              <w:jc w:val="left"/>
            </w:pPr>
            <w:r>
              <w:rPr>
                <w:b w:val="false"/>
                <w:bCs w:val="false"/>
                <w:color w:val="0B0B0B"/>
                <w:sz w:val="19"/>
                <w:szCs w:val="19"/>
              </w:rPr>
              <w:t xml:space="preserve">—</w:t>
            </w:r>
          </w:p>
        </w:tc>
        <w:tc>
          <w:tcPr>
            <w:tcW w:type="dxa" w:w="960"/>
            <w:shd w:fill="FDEEEE" w:val="clear"/>
            <w:tcMar>
              <w:top w:type="dxa" w:w="80"/>
              <w:left w:type="dxa" w:w="100"/>
              <w:bottom w:type="dxa" w:w="80"/>
              <w:right w:type="dxa" w:w="100"/>
            </w:tcMar>
          </w:tcPr>
          <w:p>
            <w:pPr>
              <w:jc w:val="left"/>
            </w:pPr>
            <w:r>
              <w:rPr>
                <w:b w:val="false"/>
                <w:bCs w:val="false"/>
                <w:color w:val="0B0B0B"/>
                <w:sz w:val="19"/>
                <w:szCs w:val="19"/>
              </w:rPr>
              <w:t xml:space="preserve">—</w:t>
            </w:r>
          </w:p>
        </w:tc>
      </w:tr>
    </w:tbl>
    <w:p>
      <w:pPr>
        <w:spacing w:before="200"/>
      </w:pPr>
    </w:p>
    <w:p>
      <w:pPr>
        <w:pStyle w:val="Heading1"/>
        <w:spacing w:after="160" w:before="320"/>
      </w:pPr>
      <w:r>
        <w:rPr>
          <w:b/>
          <w:bCs/>
          <w:color w:val="1F2A44"/>
          <w:sz w:val="30"/>
          <w:szCs w:val="30"/>
        </w:rPr>
        <w:t xml:space="preserve">2. The Wedge — the Intersection, Not Either Piece Alone</w:t>
      </w:r>
    </w:p>
    <w:p>
      <w:pPr>
        <w:spacing w:after="160"/>
      </w:pPr>
      <w:r>
        <w:rPr>
          <w:color w:val="0B0B0B"/>
          <w:sz w:val="21"/>
          <w:szCs w:val="21"/>
        </w:rPr>
        <w:t xml:space="preserve">Leading with “we audit your SEO” competes against RankMac and GEO Visibility, who already run that exact funnel. Leading with “Ad Grants management” competes against GrantMax and an established agency ecosystem with an easier buying motion (“give us access” beats “buy new SaaS”). The defensible wedge is the compound question none of them answer in one place:</w:t>
      </w:r>
    </w:p>
    <w:p>
      <w:pPr>
        <w:pBdr>
          <w:left w:val="single" w:color="B08A2E" w:sz="18" w:space="8"/>
        </w:pBdr>
        <w:spacing w:after="200" w:before="120"/>
        <w:ind w:left="360"/>
      </w:pPr>
      <w:r>
        <w:rPr>
          <w:i/>
          <w:iCs/>
          <w:color w:val="1F2A44"/>
          <w:sz w:val="22"/>
          <w:szCs w:val="22"/>
        </w:rPr>
        <w:t xml:space="preserve">“Is my NGO even eligible for the ₹8L/month Google gives away, and if so, is my website good enough to make use of it?”</w:t>
      </w:r>
    </w:p>
    <w:p>
      <w:pPr>
        <w:spacing w:after="160"/>
      </w:pPr>
      <w:r>
        <w:rPr>
          <w:color w:val="0B0B0B"/>
          <w:sz w:val="21"/>
          <w:szCs w:val="21"/>
        </w:rPr>
        <w:t xml:space="preserve">Answering that requires eligibility (FCRA-gated, verified against Google's current rules), capacity (Ad Grant utilization), and readiness (SEO/GEO score) — stitched together, which no single confirmed competitor has done.</w:t>
      </w:r>
    </w:p>
    <w:p>
      <w:pPr>
        <w:pStyle w:val="Heading1"/>
        <w:spacing w:after="160" w:before="320"/>
      </w:pPr>
      <w:r>
        <w:rPr>
          <w:b/>
          <w:bCs/>
          <w:color w:val="1F2A44"/>
          <w:sz w:val="30"/>
          <w:szCs w:val="30"/>
        </w:rPr>
        <w:t xml:space="preserve">3. USP Framing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2A44" w:val="clear"/>
            <w:tcMar>
              <w:top w:type="dxa" w:w="80"/>
              <w:left w:type="dxa" w:w="100"/>
              <w:bottom w:type="dxa" w:w="80"/>
              <w:right w:type="dxa" w:w="100"/>
            </w:tcMar>
          </w:tcPr>
          <w:p>
            <w:pPr>
              <w:jc w:val="left"/>
            </w:pPr>
            <w:r>
              <w:rPr>
                <w:b/>
                <w:bCs/>
                <w:color w:val="FFFFFF"/>
                <w:sz w:val="19"/>
                <w:szCs w:val="19"/>
              </w:rPr>
              <w:t xml:space="preserve">Category</w:t>
            </w:r>
          </w:p>
        </w:tc>
        <w:tc>
          <w:tcPr>
            <w:tcW w:type="dxa" w:w="6800"/>
            <w:shd w:fill="F2F2F0" w:val="clear"/>
            <w:tcMar>
              <w:top w:type="dxa" w:w="80"/>
              <w:left w:type="dxa" w:w="100"/>
              <w:bottom w:type="dxa" w:w="80"/>
              <w:right w:type="dxa" w:w="100"/>
            </w:tcMar>
          </w:tcPr>
          <w:p>
            <w:pPr>
              <w:jc w:val="left"/>
            </w:pPr>
            <w:r>
              <w:rPr>
                <w:b w:val="false"/>
                <w:bCs w:val="false"/>
                <w:color w:val="0B0B0B"/>
                <w:sz w:val="19"/>
                <w:szCs w:val="19"/>
              </w:rPr>
              <w:t xml:space="preserve">NGO Visibility &amp; Grant Readiness Intelligence — not “SEO tool,” not “Ad Grants tool.” Naming it either commoditizes it against a real, confirmed incumbent in that specific category.</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2A44" w:val="clear"/>
            <w:tcMar>
              <w:top w:type="dxa" w:w="80"/>
              <w:left w:type="dxa" w:w="100"/>
              <w:bottom w:type="dxa" w:w="80"/>
              <w:right w:type="dxa" w:w="100"/>
            </w:tcMar>
          </w:tcPr>
          <w:p>
            <w:pPr>
              <w:jc w:val="left"/>
            </w:pPr>
            <w:r>
              <w:rPr>
                <w:b/>
                <w:bCs/>
                <w:color w:val="FFFFFF"/>
                <w:sz w:val="19"/>
                <w:szCs w:val="19"/>
              </w:rPr>
              <w:t xml:space="preserve">ICP</w:t>
            </w:r>
          </w:p>
        </w:tc>
        <w:tc>
          <w:tcPr>
            <w:tcW w:type="dxa" w:w="6800"/>
            <w:shd w:fill="F2F2F0" w:val="clear"/>
            <w:tcMar>
              <w:top w:type="dxa" w:w="80"/>
              <w:left w:type="dxa" w:w="100"/>
              <w:bottom w:type="dxa" w:w="80"/>
              <w:right w:type="dxa" w:w="100"/>
            </w:tcMar>
          </w:tcPr>
          <w:p>
            <w:pPr>
              <w:jc w:val="left"/>
            </w:pPr>
            <w:r>
              <w:rPr>
                <w:b w:val="false"/>
                <w:bCs w:val="false"/>
                <w:color w:val="0B0B0B"/>
                <w:sz w:val="19"/>
                <w:szCs w:val="19"/>
              </w:rPr>
              <w:t xml:space="preserve">FCRA-registered Indian NGOs (Society / Trust / Section 8) with enough organizational maturity to have a real discretionary software budget — not the median Indian NGO, whose entire annual IT spend can run under ₹30,000 using free/discounted Google Workspace and Zoho tiers.</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2A44" w:val="clear"/>
            <w:tcMar>
              <w:top w:type="dxa" w:w="80"/>
              <w:left w:type="dxa" w:w="100"/>
              <w:bottom w:type="dxa" w:w="80"/>
              <w:right w:type="dxa" w:w="100"/>
            </w:tcMar>
          </w:tcPr>
          <w:p>
            <w:pPr>
              <w:jc w:val="left"/>
            </w:pPr>
            <w:r>
              <w:rPr>
                <w:b/>
                <w:bCs/>
                <w:color w:val="FFFFFF"/>
                <w:sz w:val="19"/>
                <w:szCs w:val="19"/>
              </w:rPr>
              <w:t xml:space="preserve">Core promise</w:t>
            </w:r>
          </w:p>
        </w:tc>
        <w:tc>
          <w:tcPr>
            <w:tcW w:type="dxa" w:w="6800"/>
            <w:shd w:fill="F2F2F0" w:val="clear"/>
            <w:tcMar>
              <w:top w:type="dxa" w:w="80"/>
              <w:left w:type="dxa" w:w="100"/>
              <w:bottom w:type="dxa" w:w="80"/>
              <w:right w:type="dxa" w:w="100"/>
            </w:tcMar>
          </w:tcPr>
          <w:p>
            <w:pPr>
              <w:jc w:val="left"/>
            </w:pPr>
            <w:r>
              <w:rPr>
                <w:b w:val="false"/>
                <w:bCs w:val="false"/>
                <w:color w:val="0B0B0B"/>
                <w:sz w:val="19"/>
                <w:szCs w:val="19"/>
              </w:rPr>
              <w:t xml:space="preserve">Know whether your NGO is eligible, visible, compliant, and making the most of its Google Ad Grant — in one place, verified against Google's actual current rules, not assumptions.</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2A44" w:val="clear"/>
            <w:tcMar>
              <w:top w:type="dxa" w:w="80"/>
              <w:left w:type="dxa" w:w="100"/>
              <w:bottom w:type="dxa" w:w="80"/>
              <w:right w:type="dxa" w:w="100"/>
            </w:tcMar>
          </w:tcPr>
          <w:p>
            <w:pPr>
              <w:jc w:val="left"/>
            </w:pPr>
            <w:r>
              <w:rPr>
                <w:b/>
                <w:bCs/>
                <w:color w:val="FFFFFF"/>
                <w:sz w:val="19"/>
                <w:szCs w:val="19"/>
              </w:rPr>
              <w:t xml:space="preserve">Primary wedge</w:t>
            </w:r>
          </w:p>
        </w:tc>
        <w:tc>
          <w:tcPr>
            <w:tcW w:type="dxa" w:w="6800"/>
            <w:shd w:fill="F2F2F0" w:val="clear"/>
            <w:tcMar>
              <w:top w:type="dxa" w:w="80"/>
              <w:left w:type="dxa" w:w="100"/>
              <w:bottom w:type="dxa" w:w="80"/>
              <w:right w:type="dxa" w:w="100"/>
            </w:tcMar>
          </w:tcPr>
          <w:p>
            <w:pPr>
              <w:jc w:val="left"/>
            </w:pPr>
            <w:r>
              <w:rPr>
                <w:b w:val="false"/>
                <w:bCs w:val="false"/>
                <w:color w:val="0B0B0B"/>
                <w:sz w:val="19"/>
                <w:szCs w:val="19"/>
              </w:rPr>
              <w:t xml:space="preserve">Ad Grant intelligence — concrete, ₹-denominated, easy to justify a price against. “Improve your SEO” has vague economic value; “your eligible account has ₹X/month of unused capacity” does not.</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2A44" w:val="clear"/>
            <w:tcMar>
              <w:top w:type="dxa" w:w="80"/>
              <w:left w:type="dxa" w:w="100"/>
              <w:bottom w:type="dxa" w:w="80"/>
              <w:right w:type="dxa" w:w="100"/>
            </w:tcMar>
          </w:tcPr>
          <w:p>
            <w:pPr>
              <w:jc w:val="left"/>
            </w:pPr>
            <w:r>
              <w:rPr>
                <w:b/>
                <w:bCs/>
                <w:color w:val="FFFFFF"/>
                <w:sz w:val="19"/>
                <w:szCs w:val="19"/>
              </w:rPr>
              <w:t xml:space="preserve">Supporting layer</w:t>
            </w:r>
          </w:p>
        </w:tc>
        <w:tc>
          <w:tcPr>
            <w:tcW w:type="dxa" w:w="6800"/>
            <w:shd w:fill="F2F2F0" w:val="clear"/>
            <w:tcMar>
              <w:top w:type="dxa" w:w="80"/>
              <w:left w:type="dxa" w:w="100"/>
              <w:bottom w:type="dxa" w:w="80"/>
              <w:right w:type="dxa" w:w="100"/>
            </w:tcMar>
          </w:tcPr>
          <w:p>
            <w:pPr>
              <w:jc w:val="left"/>
            </w:pPr>
            <w:r>
              <w:rPr>
                <w:b w:val="false"/>
                <w:bCs w:val="false"/>
                <w:color w:val="0B0B0B"/>
                <w:sz w:val="19"/>
                <w:szCs w:val="19"/>
              </w:rPr>
              <w:t xml:space="preserve">SEO/GEO diagnostics — explains why the NGO isn't converting the ad spend it could have, which makes the Ad Grant number actionable rather than just alarming.</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2A44" w:val="clear"/>
            <w:tcMar>
              <w:top w:type="dxa" w:w="80"/>
              <w:left w:type="dxa" w:w="100"/>
              <w:bottom w:type="dxa" w:w="80"/>
              <w:right w:type="dxa" w:w="100"/>
            </w:tcMar>
          </w:tcPr>
          <w:p>
            <w:pPr>
              <w:jc w:val="left"/>
            </w:pPr>
            <w:r>
              <w:rPr>
                <w:b/>
                <w:bCs/>
                <w:color w:val="FFFFFF"/>
                <w:sz w:val="19"/>
                <w:szCs w:val="19"/>
              </w:rPr>
              <w:t xml:space="preserve">Retention mechanism</w:t>
            </w:r>
          </w:p>
        </w:tc>
        <w:tc>
          <w:tcPr>
            <w:tcW w:type="dxa" w:w="6800"/>
            <w:shd w:fill="F2F2F0" w:val="clear"/>
            <w:tcMar>
              <w:top w:type="dxa" w:w="80"/>
              <w:left w:type="dxa" w:w="100"/>
              <w:bottom w:type="dxa" w:w="80"/>
              <w:right w:type="dxa" w:w="100"/>
            </w:tcMar>
          </w:tcPr>
          <w:p>
            <w:pPr>
              <w:jc w:val="left"/>
            </w:pPr>
            <w:r>
              <w:rPr>
                <w:b w:val="false"/>
                <w:bCs w:val="false"/>
                <w:color w:val="0B0B0B"/>
                <w:sz w:val="19"/>
                <w:szCs w:val="19"/>
              </w:rPr>
              <w:t xml:space="preserve">Weekly monitoring + prioritized actions — what turns a one-time audit into a reason to keep paying.</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2A44" w:val="clear"/>
            <w:tcMar>
              <w:top w:type="dxa" w:w="80"/>
              <w:left w:type="dxa" w:w="100"/>
              <w:bottom w:type="dxa" w:w="80"/>
              <w:right w:type="dxa" w:w="100"/>
            </w:tcMar>
          </w:tcPr>
          <w:p>
            <w:pPr>
              <w:jc w:val="left"/>
            </w:pPr>
            <w:r>
              <w:rPr>
                <w:b/>
                <w:bCs/>
                <w:color w:val="FFFFFF"/>
                <w:sz w:val="19"/>
                <w:szCs w:val="19"/>
              </w:rPr>
              <w:t xml:space="preserve">Long-term moat</w:t>
            </w:r>
          </w:p>
        </w:tc>
        <w:tc>
          <w:tcPr>
            <w:tcW w:type="dxa" w:w="6800"/>
            <w:shd w:fill="F2F2F0" w:val="clear"/>
            <w:tcMar>
              <w:top w:type="dxa" w:w="80"/>
              <w:left w:type="dxa" w:w="100"/>
              <w:bottom w:type="dxa" w:w="80"/>
              <w:right w:type="dxa" w:w="100"/>
            </w:tcMar>
          </w:tcPr>
          <w:p>
            <w:pPr>
              <w:jc w:val="left"/>
            </w:pPr>
            <w:r>
              <w:rPr>
                <w:b w:val="false"/>
                <w:bCs w:val="false"/>
                <w:color w:val="0B0B0B"/>
                <w:sz w:val="19"/>
                <w:szCs w:val="19"/>
              </w:rPr>
              <w:t xml:space="preserve">A longitudinal benchmark dataset. GrantMax can clone a compliance checklist by next quarter; it cannot clone 12–18 months of “here's how similar Indian NGOs typically score” data, because that only exists after real volume runs through the product.</w:t>
            </w:r>
          </w:p>
        </w:tc>
      </w:tr>
    </w:tbl>
    <w:p>
      <w:pPr>
        <w:pStyle w:val="Heading1"/>
        <w:spacing w:after="160" w:before="320"/>
      </w:pPr>
      <w:r>
        <w:rPr>
          <w:b/>
          <w:bCs/>
          <w:color w:val="1F2A44"/>
          <w:sz w:val="30"/>
          <w:szCs w:val="30"/>
        </w:rPr>
        <w:t xml:space="preserve">4. The Full Pipeline — Acquisition to Moat</w:t>
      </w:r>
    </w:p>
    <w:p>
      <w:pPr>
        <w:spacing w:after="160"/>
      </w:pPr>
      <w:r>
        <w:rPr>
          <w:color w:val="0B0B0B"/>
          <w:sz w:val="21"/>
          <w:szCs w:val="21"/>
        </w:rPr>
        <w:t xml:space="preserve">Seven stages, each proving a different thing before the next one gets built. Stages 5–7 are Phase 1 — gated on stages 1–4 clearing the numeric graduation gate, not built in parallel with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1F2A44" w:val="clear"/>
            <w:tcMar>
              <w:top w:type="dxa" w:w="80"/>
              <w:left w:type="dxa" w:w="100"/>
              <w:bottom w:type="dxa" w:w="80"/>
              <w:right w:type="dxa" w:w="100"/>
            </w:tcMar>
          </w:tcPr>
          <w:p>
            <w:pPr>
              <w:jc w:val="left"/>
            </w:pPr>
            <w:r>
              <w:rPr>
                <w:b/>
                <w:bCs/>
                <w:color w:val="FFFFFF"/>
                <w:sz w:val="19"/>
                <w:szCs w:val="19"/>
              </w:rPr>
              <w:t xml:space="preserve">Stage</w:t>
            </w:r>
          </w:p>
        </w:tc>
        <w:tc>
          <w:tcPr>
            <w:tcW w:type="dxa" w:w="3600"/>
            <w:shd w:fill="1F2A44" w:val="clear"/>
            <w:tcMar>
              <w:top w:type="dxa" w:w="80"/>
              <w:left w:type="dxa" w:w="100"/>
              <w:bottom w:type="dxa" w:w="80"/>
              <w:right w:type="dxa" w:w="100"/>
            </w:tcMar>
          </w:tcPr>
          <w:p>
            <w:pPr>
              <w:jc w:val="left"/>
            </w:pPr>
            <w:r>
              <w:rPr>
                <w:b/>
                <w:bCs/>
                <w:color w:val="FFFFFF"/>
                <w:sz w:val="19"/>
                <w:szCs w:val="19"/>
              </w:rPr>
              <w:t xml:space="preserve">What happens</w:t>
            </w:r>
          </w:p>
        </w:tc>
        <w:tc>
          <w:tcPr>
            <w:tcW w:type="dxa" w:w="3600"/>
            <w:shd w:fill="1F2A44" w:val="clear"/>
            <w:tcMar>
              <w:top w:type="dxa" w:w="80"/>
              <w:left w:type="dxa" w:w="100"/>
              <w:bottom w:type="dxa" w:w="80"/>
              <w:right w:type="dxa" w:w="100"/>
            </w:tcMar>
          </w:tcPr>
          <w:p>
            <w:pPr>
              <w:jc w:val="left"/>
            </w:pPr>
            <w:r>
              <w:rPr>
                <w:b/>
                <w:bCs/>
                <w:color w:val="FFFFFF"/>
                <w:sz w:val="19"/>
                <w:szCs w:val="19"/>
              </w:rPr>
              <w:t xml:space="preserve">What it proves</w:t>
            </w:r>
          </w:p>
        </w:tc>
      </w:tr>
      <w:tr>
        <w:tc>
          <w:tcPr>
            <w:tcW w:type="dxa" w:w="1800"/>
            <w:shd w:fill="F5EFDE" w:val="clear"/>
            <w:tcMar>
              <w:top w:type="dxa" w:w="80"/>
              <w:left w:type="dxa" w:w="100"/>
              <w:bottom w:type="dxa" w:w="80"/>
              <w:right w:type="dxa" w:w="100"/>
            </w:tcMar>
          </w:tcPr>
          <w:p>
            <w:pPr>
              <w:jc w:val="left"/>
            </w:pPr>
            <w:r>
              <w:rPr>
                <w:b/>
                <w:bCs/>
                <w:color w:val="0B0B0B"/>
                <w:sz w:val="19"/>
                <w:szCs w:val="19"/>
              </w:rPr>
              <w:t xml:space="preserve">1. Free Audit</w:t>
            </w:r>
          </w:p>
        </w:tc>
        <w:tc>
          <w:tcPr>
            <w:tcW w:type="dxa" w:w="3600"/>
            <w:shd w:fill="F5EFDE" w:val="clear"/>
            <w:tcMar>
              <w:top w:type="dxa" w:w="80"/>
              <w:left w:type="dxa" w:w="100"/>
              <w:bottom w:type="dxa" w:w="80"/>
              <w:right w:type="dxa" w:w="100"/>
            </w:tcMar>
          </w:tcPr>
          <w:p>
            <w:pPr>
              <w:jc w:val="left"/>
            </w:pPr>
            <w:r>
              <w:rPr>
                <w:b w:val="false"/>
                <w:bCs w:val="false"/>
                <w:color w:val="0B0B0B"/>
                <w:sz w:val="19"/>
                <w:szCs w:val="19"/>
              </w:rPr>
              <w:t xml:space="preserve">Org enters URL, no login. ~15-page weighted crawl, deterministic Visibility Conformance score, 3–5 findings, one AI rewrite as proof.</w:t>
            </w:r>
          </w:p>
        </w:tc>
        <w:tc>
          <w:tcPr>
            <w:tcW w:type="dxa" w:w="3600"/>
            <w:shd w:fill="F5EFDE" w:val="clear"/>
            <w:tcMar>
              <w:top w:type="dxa" w:w="80"/>
              <w:left w:type="dxa" w:w="100"/>
              <w:bottom w:type="dxa" w:w="80"/>
              <w:right w:type="dxa" w:w="100"/>
            </w:tcMar>
          </w:tcPr>
          <w:p>
            <w:pPr>
              <w:jc w:val="left"/>
            </w:pPr>
            <w:r>
              <w:rPr>
                <w:b w:val="false"/>
                <w:bCs w:val="false"/>
                <w:color w:val="0B0B0B"/>
                <w:sz w:val="19"/>
                <w:szCs w:val="19"/>
              </w:rPr>
              <w:t xml:space="preserve">The engine works and produces something an NGO finds credible and useful.</w:t>
            </w:r>
          </w:p>
        </w:tc>
      </w:tr>
      <w:tr>
        <w:tc>
          <w:tcPr>
            <w:tcW w:type="dxa" w:w="1800"/>
            <w:shd w:fill="FFFFFF" w:val="clear"/>
            <w:tcMar>
              <w:top w:type="dxa" w:w="80"/>
              <w:left w:type="dxa" w:w="100"/>
              <w:bottom w:type="dxa" w:w="80"/>
              <w:right w:type="dxa" w:w="100"/>
            </w:tcMar>
          </w:tcPr>
          <w:p>
            <w:pPr>
              <w:jc w:val="left"/>
            </w:pPr>
            <w:r>
              <w:rPr>
                <w:b/>
                <w:bCs/>
                <w:color w:val="0B0B0B"/>
                <w:sz w:val="19"/>
                <w:szCs w:val="19"/>
              </w:rPr>
              <w:t xml:space="preserve">2. Eligibility</w:t>
            </w:r>
          </w:p>
        </w:tc>
        <w:tc>
          <w:tcPr>
            <w:tcW w:type="dxa" w:w="3600"/>
            <w:shd w:fill="FFFFFF" w:val="clear"/>
            <w:tcMar>
              <w:top w:type="dxa" w:w="80"/>
              <w:left w:type="dxa" w:w="100"/>
              <w:bottom w:type="dxa" w:w="80"/>
              <w:right w:type="dxa" w:w="100"/>
            </w:tcMar>
          </w:tcPr>
          <w:p>
            <w:pPr>
              <w:jc w:val="left"/>
            </w:pPr>
            <w:r>
              <w:rPr>
                <w:b w:val="false"/>
                <w:bCs w:val="false"/>
                <w:color w:val="0B0B0B"/>
                <w:sz w:val="19"/>
                <w:szCs w:val="19"/>
              </w:rPr>
              <w:t xml:space="preserve">Ad Grants section asks FCRA status directly — gated correctly, per Google's verified current rule. Eligible-not-enrolled orgs get a real acquisition message.</w:t>
            </w:r>
          </w:p>
        </w:tc>
        <w:tc>
          <w:tcPr>
            <w:tcW w:type="dxa" w:w="3600"/>
            <w:shd w:fill="FFFFFF" w:val="clear"/>
            <w:tcMar>
              <w:top w:type="dxa" w:w="80"/>
              <w:left w:type="dxa" w:w="100"/>
              <w:bottom w:type="dxa" w:w="80"/>
              <w:right w:type="dxa" w:w="100"/>
            </w:tcMar>
          </w:tcPr>
          <w:p>
            <w:pPr>
              <w:jc w:val="left"/>
            </w:pPr>
            <w:r>
              <w:rPr>
                <w:b w:val="false"/>
                <w:bCs w:val="false"/>
                <w:color w:val="0B0B0B"/>
                <w:sz w:val="19"/>
                <w:szCs w:val="19"/>
              </w:rPr>
              <w:t xml:space="preserve">Whether the ₹8L/month hook is true for this specific org, not a guess.</w:t>
            </w:r>
          </w:p>
        </w:tc>
      </w:tr>
      <w:tr>
        <w:tc>
          <w:tcPr>
            <w:tcW w:type="dxa" w:w="1800"/>
            <w:shd w:fill="F5EFDE" w:val="clear"/>
            <w:tcMar>
              <w:top w:type="dxa" w:w="80"/>
              <w:left w:type="dxa" w:w="100"/>
              <w:bottom w:type="dxa" w:w="80"/>
              <w:right w:type="dxa" w:w="100"/>
            </w:tcMar>
          </w:tcPr>
          <w:p>
            <w:pPr>
              <w:jc w:val="left"/>
            </w:pPr>
            <w:r>
              <w:rPr>
                <w:b/>
                <w:bCs/>
                <w:color w:val="0B0B0B"/>
                <w:sz w:val="19"/>
                <w:szCs w:val="19"/>
              </w:rPr>
              <w:t xml:space="preserve">3. Opportunity</w:t>
            </w:r>
          </w:p>
        </w:tc>
        <w:tc>
          <w:tcPr>
            <w:tcW w:type="dxa" w:w="3600"/>
            <w:shd w:fill="F5EFDE" w:val="clear"/>
            <w:tcMar>
              <w:top w:type="dxa" w:w="80"/>
              <w:left w:type="dxa" w:w="100"/>
              <w:bottom w:type="dxa" w:w="80"/>
              <w:right w:type="dxa" w:w="100"/>
            </w:tcMar>
          </w:tcPr>
          <w:p>
            <w:pPr>
              <w:jc w:val="left"/>
            </w:pPr>
            <w:r>
              <w:rPr>
                <w:b w:val="false"/>
                <w:bCs w:val="false"/>
                <w:color w:val="0B0B0B"/>
                <w:sz w:val="19"/>
                <w:szCs w:val="19"/>
              </w:rPr>
              <w:t xml:space="preserve">For FCRA-confirmed orgs: benchmark or connected-account estimate of unused Ad Grant capacity, confidence-labeled (high/medium/low).</w:t>
            </w:r>
          </w:p>
        </w:tc>
        <w:tc>
          <w:tcPr>
            <w:tcW w:type="dxa" w:w="3600"/>
            <w:shd w:fill="F5EFDE" w:val="clear"/>
            <w:tcMar>
              <w:top w:type="dxa" w:w="80"/>
              <w:left w:type="dxa" w:w="100"/>
              <w:bottom w:type="dxa" w:w="80"/>
              <w:right w:type="dxa" w:w="100"/>
            </w:tcMar>
          </w:tcPr>
          <w:p>
            <w:pPr>
              <w:jc w:val="left"/>
            </w:pPr>
            <w:r>
              <w:rPr>
                <w:b w:val="false"/>
                <w:bCs w:val="false"/>
                <w:color w:val="0B0B0B"/>
                <w:sz w:val="19"/>
                <w:szCs w:val="19"/>
              </w:rPr>
              <w:t xml:space="preserve">The economic wedge — a concrete ₹ number, not a vague SEO promise.</w:t>
            </w:r>
          </w:p>
        </w:tc>
      </w:tr>
      <w:tr>
        <w:tc>
          <w:tcPr>
            <w:tcW w:type="dxa" w:w="1800"/>
            <w:shd w:fill="FFFFFF" w:val="clear"/>
            <w:tcMar>
              <w:top w:type="dxa" w:w="80"/>
              <w:left w:type="dxa" w:w="100"/>
              <w:bottom w:type="dxa" w:w="80"/>
              <w:right w:type="dxa" w:w="100"/>
            </w:tcMar>
          </w:tcPr>
          <w:p>
            <w:pPr>
              <w:jc w:val="left"/>
            </w:pPr>
            <w:r>
              <w:rPr>
                <w:b/>
                <w:bCs/>
                <w:color w:val="0B0B0B"/>
                <w:sz w:val="19"/>
                <w:szCs w:val="19"/>
              </w:rPr>
              <w:t xml:space="preserve">4. Intent</w:t>
            </w:r>
          </w:p>
        </w:tc>
        <w:tc>
          <w:tcPr>
            <w:tcW w:type="dxa" w:w="3600"/>
            <w:shd w:fill="FFFFFF" w:val="clear"/>
            <w:tcMar>
              <w:top w:type="dxa" w:w="80"/>
              <w:left w:type="dxa" w:w="100"/>
              <w:bottom w:type="dxa" w:w="80"/>
              <w:right w:type="dxa" w:w="100"/>
            </w:tcMar>
          </w:tcPr>
          <w:p>
            <w:pPr>
              <w:jc w:val="left"/>
            </w:pPr>
            <w:r>
              <w:rPr>
                <w:b w:val="false"/>
                <w:bCs w:val="false"/>
                <w:color w:val="0B0B0B"/>
                <w:sz w:val="19"/>
                <w:szCs w:val="19"/>
              </w:rPr>
              <w:t xml:space="preserve">Three CTAs: Connect (primary), Qualify (secondary), Email (fallback). Every click is a logged lead, not a vanity metric.</w:t>
            </w:r>
          </w:p>
        </w:tc>
        <w:tc>
          <w:tcPr>
            <w:tcW w:type="dxa" w:w="3600"/>
            <w:shd w:fill="FFFFFF" w:val="clear"/>
            <w:tcMar>
              <w:top w:type="dxa" w:w="80"/>
              <w:left w:type="dxa" w:w="100"/>
              <w:bottom w:type="dxa" w:w="80"/>
              <w:right w:type="dxa" w:w="100"/>
            </w:tcMar>
          </w:tcPr>
          <w:p>
            <w:pPr>
              <w:jc w:val="left"/>
            </w:pPr>
            <w:r>
              <w:rPr>
                <w:b w:val="false"/>
                <w:bCs w:val="false"/>
                <w:color w:val="0B0B0B"/>
                <w:sz w:val="19"/>
                <w:szCs w:val="19"/>
              </w:rPr>
              <w:t xml:space="preserve">Whether the org will hand over something with real friction — the actual test of the moat.</w:t>
            </w:r>
          </w:p>
        </w:tc>
      </w:tr>
      <w:tr>
        <w:tc>
          <w:tcPr>
            <w:tcW w:type="dxa" w:w="1800"/>
            <w:shd w:fill="F5EFDE" w:val="clear"/>
            <w:tcMar>
              <w:top w:type="dxa" w:w="80"/>
              <w:left w:type="dxa" w:w="100"/>
              <w:bottom w:type="dxa" w:w="80"/>
              <w:right w:type="dxa" w:w="100"/>
            </w:tcMar>
          </w:tcPr>
          <w:p>
            <w:pPr>
              <w:jc w:val="left"/>
            </w:pPr>
            <w:r>
              <w:rPr>
                <w:b/>
                <w:bCs/>
                <w:color w:val="0B0B0B"/>
                <w:sz w:val="19"/>
                <w:szCs w:val="19"/>
              </w:rPr>
              <w:t xml:space="preserve">5. Action (Phase 1)</w:t>
            </w:r>
          </w:p>
        </w:tc>
        <w:tc>
          <w:tcPr>
            <w:tcW w:type="dxa" w:w="3600"/>
            <w:shd w:fill="F5EFDE" w:val="clear"/>
            <w:tcMar>
              <w:top w:type="dxa" w:w="80"/>
              <w:left w:type="dxa" w:w="100"/>
              <w:bottom w:type="dxa" w:w="80"/>
              <w:right w:type="dxa" w:w="100"/>
            </w:tcMar>
          </w:tcPr>
          <w:p>
            <w:pPr>
              <w:jc w:val="left"/>
            </w:pPr>
            <w:r>
              <w:rPr>
                <w:b w:val="false"/>
                <w:bCs w:val="false"/>
                <w:color w:val="0B0B0B"/>
                <w:sz w:val="19"/>
                <w:szCs w:val="19"/>
              </w:rPr>
              <w:t xml:space="preserve">Findings become a prioritized action list with impact/effort/evidence. Every audit finding becomes a task.</w:t>
            </w:r>
          </w:p>
        </w:tc>
        <w:tc>
          <w:tcPr>
            <w:tcW w:type="dxa" w:w="3600"/>
            <w:shd w:fill="F5EFDE" w:val="clear"/>
            <w:tcMar>
              <w:top w:type="dxa" w:w="80"/>
              <w:left w:type="dxa" w:w="100"/>
              <w:bottom w:type="dxa" w:w="80"/>
              <w:right w:type="dxa" w:w="100"/>
            </w:tcMar>
          </w:tcPr>
          <w:p>
            <w:pPr>
              <w:jc w:val="left"/>
            </w:pPr>
            <w:r>
              <w:rPr>
                <w:b w:val="false"/>
                <w:bCs w:val="false"/>
                <w:color w:val="0B0B0B"/>
                <w:sz w:val="19"/>
                <w:szCs w:val="19"/>
              </w:rPr>
              <w:t xml:space="preserve">The product moves from diagnosis to execution.</w:t>
            </w:r>
          </w:p>
        </w:tc>
      </w:tr>
      <w:tr>
        <w:tc>
          <w:tcPr>
            <w:tcW w:type="dxa" w:w="1800"/>
            <w:shd w:fill="FFFFFF" w:val="clear"/>
            <w:tcMar>
              <w:top w:type="dxa" w:w="80"/>
              <w:left w:type="dxa" w:w="100"/>
              <w:bottom w:type="dxa" w:w="80"/>
              <w:right w:type="dxa" w:w="100"/>
            </w:tcMar>
          </w:tcPr>
          <w:p>
            <w:pPr>
              <w:jc w:val="left"/>
            </w:pPr>
            <w:r>
              <w:rPr>
                <w:b/>
                <w:bCs/>
                <w:color w:val="0B0B0B"/>
                <w:sz w:val="19"/>
                <w:szCs w:val="19"/>
              </w:rPr>
              <w:t xml:space="preserve">6. Content + Retention (Phase 1)</w:t>
            </w:r>
          </w:p>
        </w:tc>
        <w:tc>
          <w:tcPr>
            <w:tcW w:type="dxa" w:w="3600"/>
            <w:shd w:fill="FFFFFF" w:val="clear"/>
            <w:tcMar>
              <w:top w:type="dxa" w:w="80"/>
              <w:left w:type="dxa" w:w="100"/>
              <w:bottom w:type="dxa" w:w="80"/>
              <w:right w:type="dxa" w:w="100"/>
            </w:tcMar>
          </w:tcPr>
          <w:p>
            <w:pPr>
              <w:jc w:val="left"/>
            </w:pPr>
            <w:r>
              <w:rPr>
                <w:b w:val="false"/>
                <w:bCs w:val="false"/>
                <w:color w:val="0B0B0B"/>
                <w:sz w:val="19"/>
                <w:szCs w:val="19"/>
              </w:rPr>
              <w:t xml:space="preserve">4–6 content pillars, AI drafts grounded in the GEO checklist, human approval required, weekly report shows before/after.</w:t>
            </w:r>
          </w:p>
        </w:tc>
        <w:tc>
          <w:tcPr>
            <w:tcW w:type="dxa" w:w="3600"/>
            <w:shd w:fill="FFFFFF" w:val="clear"/>
            <w:tcMar>
              <w:top w:type="dxa" w:w="80"/>
              <w:left w:type="dxa" w:w="100"/>
              <w:bottom w:type="dxa" w:w="80"/>
              <w:right w:type="dxa" w:w="100"/>
            </w:tcMar>
          </w:tcPr>
          <w:p>
            <w:pPr>
              <w:jc w:val="left"/>
            </w:pPr>
            <w:r>
              <w:rPr>
                <w:b w:val="false"/>
                <w:bCs w:val="false"/>
                <w:color w:val="0B0B0B"/>
                <w:sz w:val="19"/>
                <w:szCs w:val="19"/>
              </w:rPr>
              <w:t xml:space="preserve">Why the org keeps paying after month one.</w:t>
            </w:r>
          </w:p>
        </w:tc>
      </w:tr>
      <w:tr>
        <w:tc>
          <w:tcPr>
            <w:tcW w:type="dxa" w:w="1800"/>
            <w:shd w:fill="F5EFDE" w:val="clear"/>
            <w:tcMar>
              <w:top w:type="dxa" w:w="80"/>
              <w:left w:type="dxa" w:w="100"/>
              <w:bottom w:type="dxa" w:w="80"/>
              <w:right w:type="dxa" w:w="100"/>
            </w:tcMar>
          </w:tcPr>
          <w:p>
            <w:pPr>
              <w:jc w:val="left"/>
            </w:pPr>
            <w:r>
              <w:rPr>
                <w:b/>
                <w:bCs/>
                <w:color w:val="0B0B0B"/>
                <w:sz w:val="19"/>
                <w:szCs w:val="19"/>
              </w:rPr>
              <w:t xml:space="preserve">7. Benchmark (moat)</w:t>
            </w:r>
          </w:p>
        </w:tc>
        <w:tc>
          <w:tcPr>
            <w:tcW w:type="dxa" w:w="3600"/>
            <w:shd w:fill="F5EFDE" w:val="clear"/>
            <w:tcMar>
              <w:top w:type="dxa" w:w="80"/>
              <w:left w:type="dxa" w:w="100"/>
              <w:bottom w:type="dxa" w:w="80"/>
              <w:right w:type="dxa" w:w="100"/>
            </w:tcMar>
          </w:tcPr>
          <w:p>
            <w:pPr>
              <w:jc w:val="left"/>
            </w:pPr>
            <w:r>
              <w:rPr>
                <w:b w:val="false"/>
                <w:bCs w:val="false"/>
                <w:color w:val="0B0B0B"/>
                <w:sz w:val="19"/>
                <w:szCs w:val="19"/>
              </w:rPr>
              <w:t xml:space="preserve">Every completed audit adds to a longitudinal dataset: “orgs like yours typically score X.”</w:t>
            </w:r>
          </w:p>
        </w:tc>
        <w:tc>
          <w:tcPr>
            <w:tcW w:type="dxa" w:w="3600"/>
            <w:shd w:fill="F5EFDE" w:val="clear"/>
            <w:tcMar>
              <w:top w:type="dxa" w:w="80"/>
              <w:left w:type="dxa" w:w="100"/>
              <w:bottom w:type="dxa" w:w="80"/>
              <w:right w:type="dxa" w:w="100"/>
            </w:tcMar>
          </w:tcPr>
          <w:p>
            <w:pPr>
              <w:jc w:val="left"/>
            </w:pPr>
            <w:r>
              <w:rPr>
                <w:b w:val="false"/>
                <w:bCs w:val="false"/>
                <w:color w:val="0B0B0B"/>
                <w:sz w:val="19"/>
                <w:szCs w:val="19"/>
              </w:rPr>
              <w:t xml:space="preserve">The thing a cloned competitor (GrantMax, RankMac) cannot copy in a sprint.</w:t>
            </w:r>
          </w:p>
        </w:tc>
      </w:tr>
    </w:tbl>
    <w:p>
      <w:pPr>
        <w:pStyle w:val="Heading1"/>
        <w:spacing w:after="160" w:before="320"/>
      </w:pPr>
      <w:r>
        <w:rPr>
          <w:b/>
          <w:bCs/>
          <w:color w:val="1F2A44"/>
          <w:sz w:val="30"/>
          <w:szCs w:val="30"/>
        </w:rPr>
        <w:t xml:space="preserve">5. Messaging — What Not to Say, Now That Competitors Are Confirmed Real</w:t>
      </w:r>
    </w:p>
    <w:p>
      <w:pPr>
        <w:spacing w:after="160"/>
      </w:pPr>
      <w:r>
        <w:rPr>
          <w:color w:val="0B0B0B"/>
          <w:sz w:val="21"/>
          <w:szCs w:val="21"/>
        </w:rPr>
        <w:t xml:space="preserve">Every corrected claim is a stronger pitch than the false version it replaces — specific and checkable beats broad and deniable, especially to a buyer who will Google the competing tools before signing anything.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W w:type="dxa" w:w="3000"/>
            <w:shd w:fill="D03B3B" w:val="clear"/>
            <w:tcMar>
              <w:top w:type="dxa" w:w="80"/>
              <w:left w:type="dxa" w:w="100"/>
              <w:bottom w:type="dxa" w:w="80"/>
              <w:right w:type="dxa" w:w="100"/>
            </w:tcMar>
          </w:tcPr>
          <w:p>
            <w:pPr>
              <w:jc w:val="left"/>
            </w:pPr>
            <w:r>
              <w:rPr>
                <w:b/>
                <w:bCs/>
                <w:color w:val="FFFFFF"/>
                <w:sz w:val="19"/>
                <w:szCs w:val="19"/>
              </w:rPr>
              <w:t xml:space="preserve">Don't say</w:t>
            </w:r>
          </w:p>
        </w:tc>
        <w:tc>
          <w:tcPr>
            <w:tcW w:type="dxa" w:w="2000"/>
            <w:shd w:fill="D03B3B" w:val="clear"/>
            <w:tcMar>
              <w:top w:type="dxa" w:w="80"/>
              <w:left w:type="dxa" w:w="100"/>
              <w:bottom w:type="dxa" w:w="80"/>
              <w:right w:type="dxa" w:w="100"/>
            </w:tcMar>
          </w:tcPr>
          <w:p>
            <w:pPr>
              <w:jc w:val="left"/>
            </w:pPr>
            <w:r>
              <w:rPr>
                <w:b/>
                <w:bCs/>
                <w:color w:val="FFFFFF"/>
                <w:sz w:val="19"/>
                <w:szCs w:val="19"/>
              </w:rPr>
              <w:t xml:space="preserve">Why</w:t>
            </w:r>
          </w:p>
        </w:tc>
        <w:tc>
          <w:tcPr>
            <w:tcW w:type="dxa" w:w="4000"/>
            <w:shd w:fill="0CA30C" w:val="clear"/>
            <w:tcMar>
              <w:top w:type="dxa" w:w="80"/>
              <w:left w:type="dxa" w:w="100"/>
              <w:bottom w:type="dxa" w:w="80"/>
              <w:right w:type="dxa" w:w="100"/>
            </w:tcMar>
          </w:tcPr>
          <w:p>
            <w:pPr>
              <w:jc w:val="left"/>
            </w:pPr>
            <w:r>
              <w:rPr>
                <w:b/>
                <w:bCs/>
                <w:color w:val="FFFFFF"/>
                <w:sz w:val="19"/>
                <w:szCs w:val="19"/>
              </w:rPr>
              <w:t xml:space="preserve">Say instead</w:t>
            </w:r>
          </w:p>
        </w:tc>
      </w:tr>
      <w:tr>
        <w:tc>
          <w:tcPr>
            <w:tcW w:type="dxa" w:w="3000"/>
            <w:shd w:fill="FFFFFF" w:val="clear"/>
            <w:tcMar>
              <w:top w:type="dxa" w:w="80"/>
              <w:left w:type="dxa" w:w="100"/>
              <w:bottom w:type="dxa" w:w="80"/>
              <w:right w:type="dxa" w:w="100"/>
            </w:tcMar>
          </w:tcPr>
          <w:p>
            <w:pPr>
              <w:jc w:val="left"/>
            </w:pPr>
            <w:r>
              <w:rPr>
                <w:b w:val="false"/>
                <w:bCs w:val="false"/>
                <w:color w:val="0B0B0B"/>
                <w:sz w:val="19"/>
                <w:szCs w:val="19"/>
              </w:rPr>
              <w:t xml:space="preserve">“Nobody's built Ad Grant compliance software”</w:t>
            </w:r>
          </w:p>
        </w:tc>
        <w:tc>
          <w:tcPr>
            <w:tcW w:type="dxa" w:w="2000"/>
            <w:shd w:fill="FFFFFF" w:val="clear"/>
            <w:tcMar>
              <w:top w:type="dxa" w:w="80"/>
              <w:left w:type="dxa" w:w="100"/>
              <w:bottom w:type="dxa" w:w="80"/>
              <w:right w:type="dxa" w:w="100"/>
            </w:tcMar>
          </w:tcPr>
          <w:p>
            <w:pPr>
              <w:jc w:val="left"/>
            </w:pPr>
            <w:r>
              <w:rPr>
                <w:b w:val="false"/>
                <w:bCs w:val="false"/>
                <w:color w:val="0B0B0B"/>
                <w:sz w:val="19"/>
                <w:szCs w:val="19"/>
              </w:rPr>
              <w:t xml:space="preserve">False — GrantMax exists</w:t>
            </w:r>
          </w:p>
        </w:tc>
        <w:tc>
          <w:tcPr>
            <w:tcW w:type="dxa" w:w="4000"/>
            <w:shd w:fill="FFFFFF" w:val="clear"/>
            <w:tcMar>
              <w:top w:type="dxa" w:w="80"/>
              <w:left w:type="dxa" w:w="100"/>
              <w:bottom w:type="dxa" w:w="80"/>
              <w:right w:type="dxa" w:w="100"/>
            </w:tcMar>
          </w:tcPr>
          <w:p>
            <w:pPr>
              <w:jc w:val="left"/>
            </w:pPr>
            <w:r>
              <w:rPr>
                <w:b w:val="false"/>
                <w:bCs w:val="false"/>
                <w:color w:val="0B0B0B"/>
                <w:sz w:val="19"/>
                <w:szCs w:val="19"/>
              </w:rPr>
              <w:t xml:space="preserve">“The tools that check Ad Grant compliance don't know what FCRA is”</w:t>
            </w:r>
          </w:p>
        </w:tc>
      </w:tr>
      <w:tr>
        <w:tc>
          <w:tcPr>
            <w:tcW w:type="dxa" w:w="3000"/>
            <w:shd w:fill="F2F2F0" w:val="clear"/>
            <w:tcMar>
              <w:top w:type="dxa" w:w="80"/>
              <w:left w:type="dxa" w:w="100"/>
              <w:bottom w:type="dxa" w:w="80"/>
              <w:right w:type="dxa" w:w="100"/>
            </w:tcMar>
          </w:tcPr>
          <w:p>
            <w:pPr>
              <w:jc w:val="left"/>
            </w:pPr>
            <w:r>
              <w:rPr>
                <w:b w:val="false"/>
                <w:bCs w:val="false"/>
                <w:color w:val="0B0B0B"/>
                <w:sz w:val="19"/>
                <w:szCs w:val="19"/>
              </w:rPr>
              <w:t xml:space="preserve">“Nobody tracks AI/GEO visibility”</w:t>
            </w:r>
          </w:p>
        </w:tc>
        <w:tc>
          <w:tcPr>
            <w:tcW w:type="dxa" w:w="2000"/>
            <w:shd w:fill="F2F2F0" w:val="clear"/>
            <w:tcMar>
              <w:top w:type="dxa" w:w="80"/>
              <w:left w:type="dxa" w:w="100"/>
              <w:bottom w:type="dxa" w:w="80"/>
              <w:right w:type="dxa" w:w="100"/>
            </w:tcMar>
          </w:tcPr>
          <w:p>
            <w:pPr>
              <w:jc w:val="left"/>
            </w:pPr>
            <w:r>
              <w:rPr>
                <w:b w:val="false"/>
                <w:bCs w:val="false"/>
                <w:color w:val="0B0B0B"/>
                <w:sz w:val="19"/>
                <w:szCs w:val="19"/>
              </w:rPr>
              <w:t xml:space="preserve">False — GEO Visibility exists</w:t>
            </w:r>
          </w:p>
        </w:tc>
        <w:tc>
          <w:tcPr>
            <w:tcW w:type="dxa" w:w="4000"/>
            <w:shd w:fill="F2F2F0" w:val="clear"/>
            <w:tcMar>
              <w:top w:type="dxa" w:w="80"/>
              <w:left w:type="dxa" w:w="100"/>
              <w:bottom w:type="dxa" w:w="80"/>
              <w:right w:type="dxa" w:w="100"/>
            </w:tcMar>
          </w:tcPr>
          <w:p>
            <w:pPr>
              <w:jc w:val="left"/>
            </w:pPr>
            <w:r>
              <w:rPr>
                <w:b w:val="false"/>
                <w:bCs w:val="false"/>
                <w:color w:val="0B0B0B"/>
                <w:sz w:val="19"/>
                <w:szCs w:val="19"/>
              </w:rPr>
              <w:t xml:space="preserve">“The tools that track AI visibility don't know what a Google nonprofit grant is”</w:t>
            </w:r>
          </w:p>
        </w:tc>
      </w:tr>
      <w:tr>
        <w:tc>
          <w:tcPr>
            <w:tcW w:type="dxa" w:w="3000"/>
            <w:shd w:fill="FFFFFF" w:val="clear"/>
            <w:tcMar>
              <w:top w:type="dxa" w:w="80"/>
              <w:left w:type="dxa" w:w="100"/>
              <w:bottom w:type="dxa" w:w="80"/>
              <w:right w:type="dxa" w:w="100"/>
            </w:tcMar>
          </w:tcPr>
          <w:p>
            <w:pPr>
              <w:jc w:val="left"/>
            </w:pPr>
            <w:r>
              <w:rPr>
                <w:b w:val="false"/>
                <w:bCs w:val="false"/>
                <w:color w:val="0B0B0B"/>
                <w:sz w:val="19"/>
                <w:szCs w:val="19"/>
              </w:rPr>
              <w:t xml:space="preserve">“We're the only NGO SEO tool”</w:t>
            </w:r>
          </w:p>
        </w:tc>
        <w:tc>
          <w:tcPr>
            <w:tcW w:type="dxa" w:w="2000"/>
            <w:shd w:fill="FFFFFF" w:val="clear"/>
            <w:tcMar>
              <w:top w:type="dxa" w:w="80"/>
              <w:left w:type="dxa" w:w="100"/>
              <w:bottom w:type="dxa" w:w="80"/>
              <w:right w:type="dxa" w:w="100"/>
            </w:tcMar>
          </w:tcPr>
          <w:p>
            <w:pPr>
              <w:jc w:val="left"/>
            </w:pPr>
            <w:r>
              <w:rPr>
                <w:b w:val="false"/>
                <w:bCs w:val="false"/>
                <w:color w:val="0B0B0B"/>
                <w:sz w:val="19"/>
                <w:szCs w:val="19"/>
              </w:rPr>
              <w:t xml:space="preserve">False — RankMac markets directly to NGOs</w:t>
            </w:r>
          </w:p>
        </w:tc>
        <w:tc>
          <w:tcPr>
            <w:tcW w:type="dxa" w:w="4000"/>
            <w:shd w:fill="FFFFFF" w:val="clear"/>
            <w:tcMar>
              <w:top w:type="dxa" w:w="80"/>
              <w:left w:type="dxa" w:w="100"/>
              <w:bottom w:type="dxa" w:w="80"/>
              <w:right w:type="dxa" w:w="100"/>
            </w:tcMar>
          </w:tcPr>
          <w:p>
            <w:pPr>
              <w:jc w:val="left"/>
            </w:pPr>
            <w:r>
              <w:rPr>
                <w:b w:val="false"/>
                <w:bCs w:val="false"/>
                <w:color w:val="0B0B0B"/>
                <w:sz w:val="19"/>
                <w:szCs w:val="19"/>
              </w:rPr>
              <w:t xml:space="preserve">“We're the only one that connects visibility to a specific, claimable ₹ opportunity”</w:t>
            </w:r>
          </w:p>
        </w:tc>
      </w:tr>
    </w:tbl>
    <w:p>
      <w:pPr>
        <w:pStyle w:val="Heading1"/>
        <w:spacing w:after="160" w:before="320"/>
      </w:pPr>
      <w:r>
        <w:rPr>
          <w:b/>
          <w:bCs/>
          <w:color w:val="1F2A44"/>
          <w:sz w:val="30"/>
          <w:szCs w:val="30"/>
        </w:rPr>
        <w:t xml:space="preserve">6. Before This Goes on a Landing Page</w:t>
      </w:r>
    </w:p>
    <w:p>
      <w:pPr>
        <w:pStyle w:val="ListParagraph"/>
        <w:numPr>
          <w:ilvl w:val="0"/>
          <w:numId w:val="2"/>
        </w:numPr>
        <w:spacing w:after="80"/>
      </w:pPr>
      <w:r>
        <w:rPr>
          <w:sz w:val="21"/>
          <w:szCs w:val="21"/>
        </w:rPr>
        <w:t xml:space="preserve">Rename before public launch. sectorapp.in is a live, unrelated, early-access product right now — run an actual IP India Class 9/42 trademark search before committing to a final name.</w:t>
      </w:r>
    </w:p>
    <w:p>
      <w:pPr>
        <w:pStyle w:val="ListParagraph"/>
        <w:numPr>
          <w:ilvl w:val="0"/>
          <w:numId w:val="2"/>
        </w:numPr>
        <w:spacing w:after="80"/>
      </w:pPr>
      <w:r>
        <w:rPr>
          <w:sz w:val="21"/>
          <w:szCs w:val="21"/>
        </w:rPr>
        <w:t xml:space="preserve">Don't claim category exclusivity in outreach copy. Say the narrow true thing (the intersection nobody's built) — it survives a skeptical NGO director Googling “Google Ad Grants audit tool” mid-sales-call, which the broad claim does not.</w:t>
      </w:r>
    </w:p>
    <w:p>
      <w:pPr>
        <w:pStyle w:val="ListParagraph"/>
        <w:numPr>
          <w:ilvl w:val="0"/>
          <w:numId w:val="2"/>
        </w:numPr>
        <w:spacing w:after="80"/>
      </w:pPr>
      <w:r>
        <w:rPr>
          <w:sz w:val="21"/>
          <w:szCs w:val="21"/>
        </w:rPr>
        <w:t xml:space="preserve">FCRA gates the Ad Grants dollar estimate only — never the free audit itself. The free audit, score, findings, and rewrite are available to every visitor unconditionally.</w:t>
      </w:r>
    </w:p>
    <w:p>
      <w:pPr>
        <w:pStyle w:val="ListParagraph"/>
        <w:numPr>
          <w:ilvl w:val="0"/>
          <w:numId w:val="2"/>
        </w:numPr>
        <w:spacing w:after="80"/>
      </w:pPr>
      <w:r>
        <w:rPr>
          <w:sz w:val="21"/>
          <w:szCs w:val="21"/>
        </w:rPr>
        <w:t xml:space="preserve">Never quote a ₹ figure to an org without confirmed FCRA registration. To FCRA-confirmed, not-yet-enrolled orgs, the unclaimed-grant line is the strongest true thing in the entire pitch.</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2026-08-23T05:43:07.820Z</dcterms:created>
  <dcterms:modified xsi:type="dcterms:W3CDTF">2026-08-23T05:43:07.820Z</dcterms:modified>
</cp:coreProperties>
</file>

<file path=docProps/custom.xml><?xml version="1.0" encoding="utf-8"?>
<Properties xmlns="http://schemas.openxmlformats.org/officeDocument/2006/custom-properties" xmlns:vt="http://schemas.openxmlformats.org/officeDocument/2006/docPropsVTypes"/>
</file>