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SEctOr</w:t>
      </w:r>
    </w:p>
    <w:p>
      <w:pPr>
        <w:spacing w:after="40"/>
      </w:pPr>
      <w:r>
        <w:rPr>
          <w:b/>
          <w:bCs/>
          <w:color w:val="B08A2E"/>
          <w:sz w:val="26"/>
          <w:szCs w:val="26"/>
        </w:rPr>
        <w:t xml:space="preserve">Phase 0 MVP &amp; Phase 1 Build Spec</w:t>
      </w:r>
    </w:p>
    <w:p>
      <w:pPr>
        <w:spacing w:after="240"/>
      </w:pPr>
      <w:r>
        <w:rPr>
          <w:i/>
          <w:iCs/>
          <w:color w:val="555555"/>
          <w:sz w:val="19"/>
          <w:szCs w:val="19"/>
        </w:rPr>
        <w:t xml:space="preserve">Prepared for the founding development team · NGO track · India first · August 2026</w:t>
      </w:r>
    </w:p>
    <w:p>
      <w:pPr>
        <w:spacing w:after="160"/>
      </w:pPr>
      <w:r>
        <w:rPr>
          <w:b/>
          <w:bCs/>
        </w:rPr>
        <w:t xml:space="preserve">Track: NGOs first. Geography: India first. </w:t>
      </w:r>
      <w:r>
        <w:t xml:space="preserve">Social enterprises, the funder/investor-matching layer, and any market beyond India are explicitly deferred (see Section 3). This document is written to be handed directly to your three developers as the starting brief.</w:t>
      </w:r>
    </w:p>
    <w:p>
      <w:pPr>
        <w:spacing w:after="160"/>
      </w:pPr>
      <w:r>
        <w:t xml:space="preserve">This document has two parts. Phase 0 comes first and is the actual starting point, a scoped-down MVP built to test whether anyone wants this before a line of the fuller Phase 1 platform gets built. Sections 1 through 10 are the Phase 1 build spec written earlier, the fuller platform Phase 0 is meant to earn the right to build. Read Phase 0 first. Don't let your developers start on Section 1 until Phase 0 has shipped and produced real signal.</w:t>
      </w:r>
    </w:p>
    <w:p>
      <w:pPr>
        <w:pBdr>
          <w:bottom w:val="single" w:color="CCCCCC" w:sz="6" w:space="4"/>
        </w:pBdr>
        <w:spacing w:after="200"/>
      </w:pPr>
    </w:p>
    <w:p>
      <w:pPr>
        <w:pStyle w:val="Heading1"/>
        <w:spacing w:after="160" w:before="320"/>
      </w:pPr>
      <w:r>
        <w:t xml:space="preserve">Phase 0: the actual MVP, build this first</w:t>
      </w:r>
    </w:p>
    <w:p>
      <w:pPr>
        <w:spacing w:after="160"/>
      </w:pPr>
      <w:r>
        <w:t xml:space="preserve">Everything below Section 1 is the full V1 platform vision: onboarding with the FCRA branch, the SEO/GEO audit, the Ad Grants module, the content engine, sponsor billing, the whole thing. It's the right target to build toward. It is not the right first sprint. Phase 0 exists to say plainly what should ship before any of that, and just as importantly, what shouldn't.</w:t>
      </w:r>
    </w:p>
    <w:p>
      <w:pPr>
        <w:pStyle w:val="ListParagraph"/>
        <w:numPr>
          <w:ilvl w:val="0"/>
          <w:numId w:val="2"/>
        </w:numPr>
        <w:spacing w:after="80"/>
      </w:pPr>
      <w:r>
        <w:rPr>
          <w:b/>
          <w:bCs/>
        </w:rPr>
        <w:t xml:space="preserve">Why a separate phase, not just a smaller Section 1. </w:t>
      </w:r>
      <w:r>
        <w:t xml:space="preserve">Phase 1 as written tries to answer two different questions with one product: will an NGO trust and act on an AI-generated audit and content, and will a corporate CSR team pay to sponsor NGO seats. Those are two different buyers, two different sales motions, two different proof points, and bundling them means a slow start gives no signal about which assumption actually failed. Phase 0 tests them separately, in parallel, and neither test requires the full build.</w:t>
      </w:r>
    </w:p>
    <w:p>
      <w:pPr>
        <w:pStyle w:val="ListParagraph"/>
        <w:numPr>
          <w:ilvl w:val="0"/>
          <w:numId w:val="2"/>
        </w:numPr>
        <w:spacing w:after="80"/>
      </w:pPr>
      <w:r>
        <w:rPr>
          <w:b/>
          <w:bCs/>
        </w:rPr>
        <w:t xml:space="preserve">What Phase 0 actually is. </w:t>
      </w:r>
      <w:r>
        <w:t xml:space="preserve">A single free-standing tool, not an account, not a login. An NGO (or anyone curious) enters an org name and a website URL. SEctOr crawls the site, scores it against the GEO/AIO checklist already written into the ngo-marcomm-toolkit reference files (schema presence, FAQ structure, freshness, H-tag hierarchy), and shows 3 to 5 concrete findings, the same scoring logic and report layout already proven out in the click-through prototype's SEO/GEO Audit screen. It also shows a benchmark Ad Grants reclaim estimate (see below) and auto-generates a before/after rewrite of the single worst-scoring page as supporting proof, not as the headline. That's the whole product surface.</w:t>
      </w:r>
    </w:p>
    <w:p>
      <w:pPr>
        <w:pStyle w:val="ListParagraph"/>
        <w:numPr>
          <w:ilvl w:val="0"/>
          <w:numId w:val="2"/>
        </w:numPr>
        <w:spacing w:after="80"/>
      </w:pPr>
      <w:r>
        <w:rPr>
          <w:b/>
          <w:bCs/>
        </w:rPr>
        <w:t xml:space="preserve">What actually differentiates SEctOr, and what doesn't. </w:t>
      </w:r>
      <w:r>
        <w:t xml:space="preserve">Be honest about this before building around it: a one-time AI rewrite or a scored audit is not a moat. Anyone at the NGO can open a ChatGPT or Claude tab tonight, paste in their homepage, and ask for a better version in their own voice, for free, no SEctOr required. What can't be replicated by opening a chat window: standing, autonomous monitoring of a live, connected Ad Grants account over time, catching a CTR drop or a Smart Bidding lapse before Google suspends the account, since a chat session has no persistence and no live account access; execution instead of advice, actually pushing a schema or FAQ fix live rather than handing back text someone still has to implement (a thinner moat, real but replicable by a competent competitor); the CSR-sponsor vendor-of-record and cohort-distribution motion, which has no AI in it at all and is a business relationship, not a product feature; and aggregate cross-NGO benchmarking data that compounds only with scale, since a single NGO's own AI session only ever sees itself. Phase 0 has no live integrations, so it cannot deliver the first, strongest moat directly, it can only test appetite for it. Design Phase 0's hook and its ask around that fact, not around the rewrite.</w:t>
      </w:r>
    </w:p>
    <w:p>
      <w:pPr>
        <w:pStyle w:val="ListParagraph"/>
        <w:numPr>
          <w:ilvl w:val="0"/>
          <w:numId w:val="2"/>
        </w:numPr>
        <w:spacing w:after="80"/>
      </w:pPr>
      <w:r>
        <w:rPr>
          <w:b/>
          <w:bCs/>
        </w:rPr>
        <w:t xml:space="preserve">The benchmark hook: a real number, not a live one. </w:t>
      </w:r>
      <w:r>
        <w:t xml:space="preserve">Lead the results with an Ad Grants reclaim estimate built from the published nonprofit averages already in this document: Google offers $10,000/month (~₹8.3L) to eligible nonprofits, and the average nonprofit account uses only about $300 of it. Show the org what that gap could mean for them, clearly labeled as a benchmark estimate, not a live number pulled from their account, with a one-line note that the real figure needs FCRA registration and a connected account. This is the sharpest, most specific hook in the whole product and it was cut from the first Phase 0 draft by mistake, chasing the FCRA-branch friction problem and losing the actual wedge along with it. Putting it back doesn't reintroduce that friction: it's a benchmark, not a gate, shown to every visitor regardless of FCRA status.</w:t>
      </w:r>
    </w:p>
    <w:p>
      <w:pPr>
        <w:pStyle w:val="ListParagraph"/>
        <w:numPr>
          <w:ilvl w:val="0"/>
          <w:numId w:val="2"/>
        </w:numPr>
        <w:spacing w:after="80"/>
      </w:pPr>
      <w:r>
        <w:rPr>
          <w:b/>
          <w:bCs/>
        </w:rPr>
        <w:t xml:space="preserve">The Phase 0 ask: connect-intent, not email capture. </w:t>
      </w:r>
      <w:r>
        <w:t xml:space="preserve">The primary call to action is not “enter your email for the full report,” it's “connect your Google Ads account so we can watch this for you going forward” (a mocked consent step for Phase 0, a real OAuth grant once Phase 1's Ad Grants module exists). Email capture stays, but as the secondary, weaker fallback for visitors without an Ads account yet. An email address is a free signal everyone gives for a free score. Asking someone to start an account-connection flow is a real commitment, and if NGOs won't even click that button, that's the signal that actually matters, not whether they liked a rewrite.</w:t>
      </w:r>
    </w:p>
    <w:p>
      <w:pPr>
        <w:pStyle w:val="ListParagraph"/>
        <w:numPr>
          <w:ilvl w:val="0"/>
          <w:numId w:val="2"/>
        </w:numPr>
        <w:spacing w:after="80"/>
      </w:pPr>
      <w:r>
        <w:rPr>
          <w:b/>
          <w:bCs/>
        </w:rPr>
        <w:t xml:space="preserve">Run the Google Ads API developer token application in parallel with Phase 0, starting week one. </w:t>
      </w:r>
      <w:r>
        <w:t xml:space="preserve">Google's API approval has real lead time, weeks, sometimes longer, which is exactly why the original Phase 1 build sequence in Section 8 already has a developer starting this in week one regardless of what else is ready. Filing it the same week Phase 0 launches, instead of after Phase 0 proves demand, means both clocks run at once. It costs nothing beyond the paperwork.</w:t>
      </w:r>
    </w:p>
    <w:p>
      <w:pPr>
        <w:pStyle w:val="ListParagraph"/>
        <w:numPr>
          <w:ilvl w:val="0"/>
          <w:numId w:val="2"/>
        </w:numPr>
        <w:spacing w:after="80"/>
      </w:pPr>
      <w:r>
        <w:rPr>
          <w:b/>
          <w:bCs/>
        </w:rPr>
        <w:t xml:space="preserve">What's deliberately cut, and why it matters that it's deliberate. </w:t>
      </w:r>
      <w:r>
        <w:t xml:space="preserve">No FCRA branch, no live Google Ads account connection (the connect-intent button above collects intent, not a working OAuth flow, until Phase 1), no integrations hub, no content-approval workflow, no multi-platform publishing, no CSR cohort dashboard, no Razorpay or any billing integration. If the first five NGOs want to pay, invoice them by hand and take a bank transfer or a UPI QR code, wiring recurring billing before there's a single paying customer solves a problem that doesn't exist yet. The FCRA branch specifically stays out of Phase 0 even though it's core to the Phase 1 identity, because it's a compliance gate on one feature for a subset of orgs, and forcing every Phase 0 visitor through that question before they've seen a single ounce of value is friction with no payoff on day one, the benchmark hook above works precisely because it doesn't ask that question of anyone.</w:t>
      </w:r>
    </w:p>
    <w:p>
      <w:pPr>
        <w:pStyle w:val="ListParagraph"/>
        <w:numPr>
          <w:ilvl w:val="0"/>
          <w:numId w:val="2"/>
        </w:numPr>
        <w:spacing w:after="80"/>
      </w:pPr>
      <w:r>
        <w:rPr>
          <w:b/>
          <w:bCs/>
        </w:rPr>
        <w:t xml:space="preserve">The CSR sponsor motion gets tested with zero engineering. </w:t>
      </w:r>
      <w:r>
        <w:t xml:space="preserve">Don't build the cohort-reporting dashboard until there's a sponsor to report to. Take the existing outreach and pitch-deck material (from the CSR outreach work already done in this project) to five real CSR contacts and see if the sponsorship pitch lands on its own terms. If it doesn't, no engineering time was lost. If it does, build the reporting screen to match what that sponsor actually asks for, not what was guessed at in the prototype.</w:t>
      </w:r>
    </w:p>
    <w:p>
      <w:pPr>
        <w:pStyle w:val="ListParagraph"/>
        <w:numPr>
          <w:ilvl w:val="0"/>
          <w:numId w:val="2"/>
        </w:numPr>
        <w:spacing w:after="80"/>
      </w:pPr>
      <w:r>
        <w:rPr>
          <w:b/>
          <w:bCs/>
        </w:rPr>
        <w:t xml:space="preserve">Build effort. </w:t>
      </w:r>
      <w:r>
        <w:t xml:space="preserve">A crawler, the scoring heuristic, one LLM-driven report and rewrite generation, and a lead-capture landing page is roughly a 3-to-4-week build for three developers who are already fluent with AI model integrations, not the multi-month integrated platform Section 8 below scopes out. Suggested split: one developer owns the crawl and scoring pipeline, one owns the report UI and email-gate flow (this can lift the existing prototype's SEO/GEO Audit screen almost directly), one owns the AI rewrite generation and prompt grounding against the toolkit's GEO checklist.</w:t>
      </w:r>
    </w:p>
    <w:p>
      <w:pPr>
        <w:pStyle w:val="ListParagraph"/>
        <w:numPr>
          <w:ilvl w:val="0"/>
          <w:numId w:val="2"/>
        </w:numPr>
        <w:spacing w:after="80"/>
      </w:pPr>
      <w:r>
        <w:rPr>
          <w:b/>
          <w:bCs/>
        </w:rPr>
        <w:t xml:space="preserve">What “done” looks like for Phase 0, the graduation gate to Phase 1. </w:t>
      </w:r>
      <w:r>
        <w:t xml:space="preserve">Not a date, a signal: a meaningful number of real NGOs running the audit on their own site, a real connect-intent rate on the “connect your Ads account” button specifically, not just email capture, since that's the number that tells you whether the actual moat is wanted, and at least one qualitative sign of pull, a returning visitor, a referral, an inbound “can you also fix this for us.” On the sponsor side: a small number of real CSR conversations booked off the existing pitch material, with at least directional interest, not silence. Only once that signal exists should the pricing, design-partner, and legal-structuring decisions in Section 10 get finalized, they should be answers Phase 0 produces, not assumptions Phase 1 is built on.</w:t>
      </w:r>
    </w:p>
    <w:p>
      <w:pPr>
        <w:pStyle w:val="Heading1"/>
        <w:spacing w:after="160" w:before="320"/>
      </w:pPr>
      <w:r>
        <w:t xml:space="preserve">1. What SEctOr is, in one line</w:t>
      </w:r>
    </w:p>
    <w:p>
      <w:pPr>
        <w:spacing w:after="160"/>
      </w:pPr>
      <w:r>
        <w:t xml:space="preserve">Software that runs the two highest-leverage, most provable visibility fixes for an NGO, reclaiming unused Google Ad Grant spend and closing the SEO/GEO gap, on autopilot, then uses the same engine to keep producing on-brand content so the org doesn't need a marketer to stay visible.</w:t>
      </w:r>
    </w:p>
    <w:p>
      <w:pPr>
        <w:spacing w:after="160"/>
      </w:pPr>
      <w:r>
        <w:rPr>
          <w:b/>
          <w:bCs/>
        </w:rPr>
        <w:t xml:space="preserve">Not: </w:t>
      </w:r>
      <w:r>
        <w:t xml:space="preserve">a CRM. Not: a donor database. Not, yet: a way to get discovered by funders and investors. Those are real, and they're Phase 2 and Phase 3. Phase 1 has to prove the engine works and that someone will pay for it before SEctOr earns the right to build the bigger version.</w:t>
      </w:r>
    </w:p>
    <w:p>
      <w:pPr>
        <w:pStyle w:val="Heading1"/>
        <w:spacing w:after="160" w:before="320"/>
      </w:pPr>
      <w:r>
        <w:t xml:space="preserve">2. Who Phase 1 is for</w:t>
      </w:r>
    </w:p>
    <w:p>
      <w:pPr>
        <w:pStyle w:val="ListParagraph"/>
        <w:numPr>
          <w:ilvl w:val="0"/>
          <w:numId w:val="2"/>
        </w:numPr>
        <w:spacing w:after="80"/>
      </w:pPr>
      <w:r>
        <w:rPr>
          <w:b/>
          <w:bCs/>
        </w:rPr>
        <w:t xml:space="preserve">End user: </w:t>
      </w:r>
      <w:r>
        <w:t xml:space="preserve">a program officer, founder, or the one person doing comms at a small-to-mid NGO, someone with no dedicated marketing hire, per earlier research roughly two-thirds of orgs this size fall into that bucket.</w:t>
      </w:r>
    </w:p>
    <w:p>
      <w:pPr>
        <w:spacing w:after="100"/>
      </w:pPr>
      <w:r>
        <w:rPr>
          <w:b/>
          <w:bCs/>
        </w:rPr>
        <w:t xml:space="preserve">Buyer: </w:t>
      </w:r>
      <w:r>
        <w:t xml:space="preserve">two buyers, on purpose, tested in parallel from day one:</w:t>
      </w:r>
    </w:p>
    <w:p>
      <w:pPr>
        <w:pStyle w:val="ListParagraph"/>
        <w:numPr>
          <w:ilvl w:val="0"/>
          <w:numId w:val="2"/>
        </w:numPr>
        <w:spacing w:after="80"/>
      </w:pPr>
      <w:r>
        <w:t xml:space="preserve">The NGO itself, paying directly. The US agency comps found ($250–$1,750/mo) don't transfer cleanly to India, no India-specific Ad-Grant-management pricing benchmark turned up in research, but general (non-grant) Google Ads management agencies in India start around ₹15,000/month, the nearest real local anchor. Treat ₹8,000–₹20,000/month as a starting range to pressure-test with actual design-partner NGOs, not a settled number.</w:t>
      </w:r>
    </w:p>
    <w:p>
      <w:pPr>
        <w:pStyle w:val="ListParagraph"/>
        <w:numPr>
          <w:ilvl w:val="0"/>
          <w:numId w:val="2"/>
        </w:numPr>
        <w:spacing w:after="80"/>
      </w:pPr>
      <w:r>
        <w:t xml:space="preserve">A corporate CSR team or foundation, paying for a block of NGO seats. This isn't just a goodwill pitch in India, it's leverage against a legal obligation: Section 135 of the Companies Act makes CSR spending mandatory for companies above certain net worth, turnover, or profit thresholds, 2% of average net profit every year, whether they want the story or not. “We funded visibility upgrades for 40 nonprofits and unlocked ₹25L in reclaimed ad spend” is a stronger CSR-reporting line than a one-off donation, and it's spending they're required to make anyway. This is the B2B2N motion and it needs to exist in the data model from day one (see Section 7). Revised structure: Rule 4 of the CSR Rules permits a company to undertake CSR activities directly itself, including engaging vendors for “designing, monitoring and evaluation” of a project, which is the likely-cleanest read for SEctOr, the corporate buys seats directly from SEctOr as a vendor and gifts access to named NGOs as its own CSR activity, no CSR funds change hands into the NGO's account, so the NGO does not need CSR-1 registration to receive a sponsored seat, and SEctOr does not need to be CSR-1 registered either since it's a vendor, not an implementing agency. Get this confirmed by a CS/CSR-compliance lawyer before building billing around it, related-party and anti-self-benefit CSR provisions are worth a specific look.</w:t>
      </w:r>
    </w:p>
    <w:p>
      <w:pPr>
        <w:pStyle w:val="Heading1"/>
        <w:spacing w:after="160" w:before="320"/>
      </w:pPr>
      <w:r>
        <w:t xml:space="preserve">3. Phase 1 scope: build vs. integrate vs. defer</w:t>
      </w:r>
    </w:p>
    <w:p>
      <w:pPr>
        <w:spacing w:after="160"/>
      </w:pPr>
      <w:r>
        <w:t xml:space="preserve">The single biggest risk to this build is trying to do too much with three developers. Everything in the “defer” row is a real future feature, none of it is a Phase 1 feature.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0"/>
      </w:tblGrid>
      <w:tr>
        <w:trPr>
          <w:tblHeader/>
        </w:trPr>
        <w:tc>
          <w:tcPr>
            <w:tcW w:type="dxa" w:w="2600"/>
            <w:shd w:fill="1F2A44" w:val="clear"/>
            <w:tcMar>
              <w:top w:type="dxa" w:w="100"/>
              <w:left w:type="dxa" w:w="120"/>
              <w:bottom w:type="dxa" w:w="100"/>
              <w:right w:type="dxa" w:w="120"/>
            </w:tcMar>
          </w:tcPr>
          <w:p>
            <w:r>
              <w:rPr>
                <w:b/>
                <w:bCs/>
                <w:color w:val="FFFFFF"/>
                <w:sz w:val="20"/>
                <w:szCs w:val="20"/>
              </w:rPr>
              <w:t xml:space="preserve">Capability</w:t>
            </w:r>
          </w:p>
        </w:tc>
        <w:tc>
          <w:tcPr>
            <w:tcW w:type="dxa" w:w="1800"/>
            <w:shd w:fill="1F2A44" w:val="clear"/>
            <w:tcMar>
              <w:top w:type="dxa" w:w="100"/>
              <w:left w:type="dxa" w:w="120"/>
              <w:bottom w:type="dxa" w:w="100"/>
              <w:right w:type="dxa" w:w="120"/>
            </w:tcMar>
          </w:tcPr>
          <w:p>
            <w:r>
              <w:rPr>
                <w:b/>
                <w:bCs/>
                <w:color w:val="FFFFFF"/>
                <w:sz w:val="20"/>
                <w:szCs w:val="20"/>
              </w:rPr>
              <w:t xml:space="preserve">Phase 1 treatment</w:t>
            </w:r>
          </w:p>
        </w:tc>
        <w:tc>
          <w:tcPr>
            <w:tcW w:type="dxa" w:w="5100"/>
            <w:shd w:fill="1F2A44" w:val="clear"/>
            <w:tcMar>
              <w:top w:type="dxa" w:w="100"/>
              <w:left w:type="dxa" w:w="120"/>
              <w:bottom w:type="dxa" w:w="100"/>
              <w:right w:type="dxa" w:w="120"/>
            </w:tcMar>
          </w:tcPr>
          <w:p>
            <w:r>
              <w:rPr>
                <w:b/>
                <w:bCs/>
                <w:color w:val="FFFFFF"/>
                <w:sz w:val="20"/>
                <w:szCs w:val="20"/>
              </w:rPr>
              <w:t xml:space="preserve">Why</w:t>
            </w:r>
          </w:p>
        </w:tc>
      </w:tr>
      <w:tr>
        <w:tc>
          <w:tcPr>
            <w:tcW w:type="dxa" w:w="2600"/>
            <w:tcMar>
              <w:top w:type="dxa" w:w="100"/>
              <w:left w:type="dxa" w:w="120"/>
              <w:bottom w:type="dxa" w:w="100"/>
              <w:right w:type="dxa" w:w="120"/>
            </w:tcMar>
          </w:tcPr>
          <w:p>
            <w:r>
              <w:rPr>
                <w:b w:val="false"/>
                <w:bCs w:val="false"/>
                <w:color w:val="000000"/>
                <w:sz w:val="19"/>
                <w:szCs w:val="19"/>
              </w:rPr>
              <w:t xml:space="preserve">SEO/GEO visibility audit</w:t>
            </w:r>
          </w:p>
        </w:tc>
        <w:tc>
          <w:tcPr>
            <w:tcW w:type="dxa" w:w="1800"/>
            <w:shd w:fill="DCEBD6" w:val="clear"/>
            <w:tcMar>
              <w:top w:type="dxa" w:w="100"/>
              <w:left w:type="dxa" w:w="120"/>
              <w:bottom w:type="dxa" w:w="100"/>
              <w:right w:type="dxa" w:w="120"/>
            </w:tcMar>
          </w:tcPr>
          <w:p>
            <w:r>
              <w:rPr>
                <w:b w:val="false"/>
                <w:bCs w:val="false"/>
                <w:color w:val="000000"/>
                <w:sz w:val="19"/>
                <w:szCs w:val="19"/>
              </w:rPr>
              <w:t xml:space="preserve">Build</w:t>
            </w:r>
          </w:p>
        </w:tc>
        <w:tc>
          <w:tcPr>
            <w:tcW w:type="dxa" w:w="5100"/>
            <w:tcMar>
              <w:top w:type="dxa" w:w="100"/>
              <w:left w:type="dxa" w:w="120"/>
              <w:bottom w:type="dxa" w:w="100"/>
              <w:right w:type="dxa" w:w="120"/>
            </w:tcMar>
          </w:tcPr>
          <w:p>
            <w:r>
              <w:rPr>
                <w:b w:val="false"/>
                <w:bCs w:val="false"/>
                <w:color w:val="000000"/>
                <w:sz w:val="19"/>
                <w:szCs w:val="19"/>
              </w:rPr>
              <w:t xml:space="preserve">This is the differentiated core. No incumbent does this well for nonprofits.</w:t>
            </w:r>
          </w:p>
        </w:tc>
      </w:tr>
      <w:tr>
        <w:tc>
          <w:tcPr>
            <w:tcW w:type="dxa" w:w="2600"/>
            <w:tcMar>
              <w:top w:type="dxa" w:w="100"/>
              <w:left w:type="dxa" w:w="120"/>
              <w:bottom w:type="dxa" w:w="100"/>
              <w:right w:type="dxa" w:w="120"/>
            </w:tcMar>
          </w:tcPr>
          <w:p>
            <w:r>
              <w:rPr>
                <w:b w:val="false"/>
                <w:bCs w:val="false"/>
                <w:color w:val="000000"/>
                <w:sz w:val="19"/>
                <w:szCs w:val="19"/>
              </w:rPr>
              <w:t xml:space="preserve">Google Ad Grants diagnostic + reclaim assistant</w:t>
            </w:r>
          </w:p>
        </w:tc>
        <w:tc>
          <w:tcPr>
            <w:tcW w:type="dxa" w:w="1800"/>
            <w:shd w:fill="DCEBD6" w:val="clear"/>
            <w:tcMar>
              <w:top w:type="dxa" w:w="100"/>
              <w:left w:type="dxa" w:w="120"/>
              <w:bottom w:type="dxa" w:w="100"/>
              <w:right w:type="dxa" w:w="120"/>
            </w:tcMar>
          </w:tcPr>
          <w:p>
            <w:r>
              <w:rPr>
                <w:b w:val="false"/>
                <w:bCs w:val="false"/>
                <w:color w:val="000000"/>
                <w:sz w:val="19"/>
                <w:szCs w:val="19"/>
              </w:rPr>
              <w:t xml:space="preserve">Build</w:t>
            </w:r>
          </w:p>
        </w:tc>
        <w:tc>
          <w:tcPr>
            <w:tcW w:type="dxa" w:w="5100"/>
            <w:tcMar>
              <w:top w:type="dxa" w:w="100"/>
              <w:left w:type="dxa" w:w="120"/>
              <w:bottom w:type="dxa" w:w="100"/>
              <w:right w:type="dxa" w:w="120"/>
            </w:tcMar>
          </w:tcPr>
          <w:p>
            <w:r>
              <w:rPr>
                <w:b w:val="false"/>
                <w:bCs w:val="false"/>
                <w:color w:val="000000"/>
                <w:sz w:val="19"/>
                <w:szCs w:val="19"/>
              </w:rPr>
              <w:t xml:space="preserve">The sharpest, most provable wedge. Real dollar figure to show on day one.</w:t>
            </w:r>
          </w:p>
        </w:tc>
      </w:tr>
      <w:tr>
        <w:tc>
          <w:tcPr>
            <w:tcW w:type="dxa" w:w="2600"/>
            <w:tcMar>
              <w:top w:type="dxa" w:w="100"/>
              <w:left w:type="dxa" w:w="120"/>
              <w:bottom w:type="dxa" w:w="100"/>
              <w:right w:type="dxa" w:w="120"/>
            </w:tcMar>
          </w:tcPr>
          <w:p>
            <w:r>
              <w:rPr>
                <w:b w:val="false"/>
                <w:bCs w:val="false"/>
                <w:color w:val="000000"/>
                <w:sz w:val="19"/>
                <w:szCs w:val="19"/>
              </w:rPr>
              <w:t xml:space="preserve">AI content generation (blog/GEO-structured posts)</w:t>
            </w:r>
          </w:p>
        </w:tc>
        <w:tc>
          <w:tcPr>
            <w:tcW w:type="dxa" w:w="1800"/>
            <w:shd w:fill="DCEBD6" w:val="clear"/>
            <w:tcMar>
              <w:top w:type="dxa" w:w="100"/>
              <w:left w:type="dxa" w:w="120"/>
              <w:bottom w:type="dxa" w:w="100"/>
              <w:right w:type="dxa" w:w="120"/>
            </w:tcMar>
          </w:tcPr>
          <w:p>
            <w:r>
              <w:rPr>
                <w:b w:val="false"/>
                <w:bCs w:val="false"/>
                <w:color w:val="000000"/>
                <w:sz w:val="19"/>
                <w:szCs w:val="19"/>
              </w:rPr>
              <w:t xml:space="preserve">Build</w:t>
            </w:r>
          </w:p>
        </w:tc>
        <w:tc>
          <w:tcPr>
            <w:tcW w:type="dxa" w:w="5100"/>
            <w:tcMar>
              <w:top w:type="dxa" w:w="100"/>
              <w:left w:type="dxa" w:w="120"/>
              <w:bottom w:type="dxa" w:w="100"/>
              <w:right w:type="dxa" w:w="120"/>
            </w:tcMar>
          </w:tcPr>
          <w:p>
            <w:r>
              <w:rPr>
                <w:b w:val="false"/>
                <w:bCs w:val="false"/>
                <w:color w:val="000000"/>
                <w:sz w:val="19"/>
                <w:szCs w:val="19"/>
              </w:rPr>
              <w:t xml:space="preserve">Directly reuses the ngo-marcomm-toolkit reference-file logic already written.</w:t>
            </w:r>
          </w:p>
        </w:tc>
      </w:tr>
      <w:tr>
        <w:tc>
          <w:tcPr>
            <w:tcW w:type="dxa" w:w="2600"/>
            <w:tcMar>
              <w:top w:type="dxa" w:w="100"/>
              <w:left w:type="dxa" w:w="120"/>
              <w:bottom w:type="dxa" w:w="100"/>
              <w:right w:type="dxa" w:w="120"/>
            </w:tcMar>
          </w:tcPr>
          <w:p>
            <w:r>
              <w:rPr>
                <w:b w:val="false"/>
                <w:bCs w:val="false"/>
                <w:color w:val="000000"/>
                <w:sz w:val="19"/>
                <w:szCs w:val="19"/>
              </w:rPr>
              <w:t xml:space="preserve">Content calendar / SOP generation</w:t>
            </w:r>
          </w:p>
        </w:tc>
        <w:tc>
          <w:tcPr>
            <w:tcW w:type="dxa" w:w="1800"/>
            <w:shd w:fill="DCEBD6" w:val="clear"/>
            <w:tcMar>
              <w:top w:type="dxa" w:w="100"/>
              <w:left w:type="dxa" w:w="120"/>
              <w:bottom w:type="dxa" w:w="100"/>
              <w:right w:type="dxa" w:w="120"/>
            </w:tcMar>
          </w:tcPr>
          <w:p>
            <w:r>
              <w:rPr>
                <w:b w:val="false"/>
                <w:bCs w:val="false"/>
                <w:color w:val="000000"/>
                <w:sz w:val="19"/>
                <w:szCs w:val="19"/>
              </w:rPr>
              <w:t xml:space="preserve">Build</w:t>
            </w:r>
          </w:p>
        </w:tc>
        <w:tc>
          <w:tcPr>
            <w:tcW w:type="dxa" w:w="5100"/>
            <w:tcMar>
              <w:top w:type="dxa" w:w="100"/>
              <w:left w:type="dxa" w:w="120"/>
              <w:bottom w:type="dxa" w:w="100"/>
              <w:right w:type="dxa" w:w="120"/>
            </w:tcMar>
          </w:tcPr>
          <w:p>
            <w:r>
              <w:rPr>
                <w:b w:val="false"/>
                <w:bCs w:val="false"/>
                <w:color w:val="000000"/>
                <w:sz w:val="19"/>
                <w:szCs w:val="19"/>
              </w:rPr>
              <w:t xml:space="preserve">Same reuse. High perceived value, relatively cheap to build since the logic already exists as text.</w:t>
            </w:r>
          </w:p>
        </w:tc>
      </w:tr>
      <w:tr>
        <w:tc>
          <w:tcPr>
            <w:tcW w:type="dxa" w:w="2600"/>
            <w:tcMar>
              <w:top w:type="dxa" w:w="100"/>
              <w:left w:type="dxa" w:w="120"/>
              <w:bottom w:type="dxa" w:w="100"/>
              <w:right w:type="dxa" w:w="120"/>
            </w:tcMar>
          </w:tcPr>
          <w:p>
            <w:r>
              <w:rPr>
                <w:b w:val="false"/>
                <w:bCs w:val="false"/>
                <w:color w:val="000000"/>
                <w:sz w:val="19"/>
                <w:szCs w:val="19"/>
              </w:rPr>
              <w:t xml:space="preserve">Org onboarding / brand-voice intake</w:t>
            </w:r>
          </w:p>
        </w:tc>
        <w:tc>
          <w:tcPr>
            <w:tcW w:type="dxa" w:w="1800"/>
            <w:shd w:fill="DCEBD6" w:val="clear"/>
            <w:tcMar>
              <w:top w:type="dxa" w:w="100"/>
              <w:left w:type="dxa" w:w="120"/>
              <w:bottom w:type="dxa" w:w="100"/>
              <w:right w:type="dxa" w:w="120"/>
            </w:tcMar>
          </w:tcPr>
          <w:p>
            <w:r>
              <w:rPr>
                <w:b w:val="false"/>
                <w:bCs w:val="false"/>
                <w:color w:val="000000"/>
                <w:sz w:val="19"/>
                <w:szCs w:val="19"/>
              </w:rPr>
              <w:t xml:space="preserve">Build</w:t>
            </w:r>
          </w:p>
        </w:tc>
        <w:tc>
          <w:tcPr>
            <w:tcW w:type="dxa" w:w="5100"/>
            <w:tcMar>
              <w:top w:type="dxa" w:w="100"/>
              <w:left w:type="dxa" w:w="120"/>
              <w:bottom w:type="dxa" w:w="100"/>
              <w:right w:type="dxa" w:w="120"/>
            </w:tcMar>
          </w:tcPr>
          <w:p>
            <w:r>
              <w:rPr>
                <w:b w:val="false"/>
                <w:bCs w:val="false"/>
                <w:color w:val="000000"/>
                <w:sz w:val="19"/>
                <w:szCs w:val="19"/>
              </w:rPr>
              <w:t xml:space="preserve">Needed to make every other output non-generic. Small, well-specified (5 questions).</w:t>
            </w:r>
          </w:p>
        </w:tc>
      </w:tr>
      <w:tr>
        <w:tc>
          <w:tcPr>
            <w:tcW w:type="dxa" w:w="2600"/>
            <w:tcMar>
              <w:top w:type="dxa" w:w="100"/>
              <w:left w:type="dxa" w:w="120"/>
              <w:bottom w:type="dxa" w:w="100"/>
              <w:right w:type="dxa" w:w="120"/>
            </w:tcMar>
          </w:tcPr>
          <w:p>
            <w:r>
              <w:rPr>
                <w:b w:val="false"/>
                <w:bCs w:val="false"/>
                <w:color w:val="000000"/>
                <w:sz w:val="19"/>
                <w:szCs w:val="19"/>
              </w:rPr>
              <w:t xml:space="preserve">Billing, seats, sponsor accounts</w:t>
            </w:r>
          </w:p>
        </w:tc>
        <w:tc>
          <w:tcPr>
            <w:tcW w:type="dxa" w:w="1800"/>
            <w:shd w:fill="DCEBD6" w:val="clear"/>
            <w:tcMar>
              <w:top w:type="dxa" w:w="100"/>
              <w:left w:type="dxa" w:w="120"/>
              <w:bottom w:type="dxa" w:w="100"/>
              <w:right w:type="dxa" w:w="120"/>
            </w:tcMar>
          </w:tcPr>
          <w:p>
            <w:r>
              <w:rPr>
                <w:b w:val="false"/>
                <w:bCs w:val="false"/>
                <w:color w:val="000000"/>
                <w:sz w:val="19"/>
                <w:szCs w:val="19"/>
              </w:rPr>
              <w:t xml:space="preserve">Build</w:t>
            </w:r>
          </w:p>
        </w:tc>
        <w:tc>
          <w:tcPr>
            <w:tcW w:type="dxa" w:w="5100"/>
            <w:tcMar>
              <w:top w:type="dxa" w:w="100"/>
              <w:left w:type="dxa" w:w="120"/>
              <w:bottom w:type="dxa" w:w="100"/>
              <w:right w:type="dxa" w:w="120"/>
            </w:tcMar>
          </w:tcPr>
          <w:p>
            <w:r>
              <w:rPr>
                <w:b w:val="false"/>
                <w:bCs w:val="false"/>
                <w:color w:val="000000"/>
                <w:sz w:val="19"/>
                <w:szCs w:val="19"/>
              </w:rPr>
              <w:t xml:space="preserve">This is the monetization mechanism itself, not a nice-to-have.</w:t>
            </w:r>
          </w:p>
        </w:tc>
      </w:tr>
      <w:tr>
        <w:tc>
          <w:tcPr>
            <w:tcW w:type="dxa" w:w="2600"/>
            <w:tcMar>
              <w:top w:type="dxa" w:w="100"/>
              <w:left w:type="dxa" w:w="120"/>
              <w:bottom w:type="dxa" w:w="100"/>
              <w:right w:type="dxa" w:w="120"/>
            </w:tcMar>
          </w:tcPr>
          <w:p>
            <w:r>
              <w:rPr>
                <w:b w:val="false"/>
                <w:bCs w:val="false"/>
                <w:color w:val="000000"/>
                <w:sz w:val="19"/>
                <w:szCs w:val="19"/>
              </w:rPr>
              <w:t xml:space="preserve">Social scheduling/publishing (LinkedIn, Instagram, Meta)</w:t>
            </w:r>
          </w:p>
        </w:tc>
        <w:tc>
          <w:tcPr>
            <w:tcW w:type="dxa" w:w="1800"/>
            <w:shd w:fill="FCEFC7" w:val="clear"/>
            <w:tcMar>
              <w:top w:type="dxa" w:w="100"/>
              <w:left w:type="dxa" w:w="120"/>
              <w:bottom w:type="dxa" w:w="100"/>
              <w:right w:type="dxa" w:w="120"/>
            </w:tcMar>
          </w:tcPr>
          <w:p>
            <w:r>
              <w:rPr>
                <w:b w:val="false"/>
                <w:bCs w:val="false"/>
                <w:color w:val="000000"/>
                <w:sz w:val="19"/>
                <w:szCs w:val="19"/>
              </w:rPr>
              <w:t xml:space="preserve">Integrate (Buffer or Later API)</w:t>
            </w:r>
          </w:p>
        </w:tc>
        <w:tc>
          <w:tcPr>
            <w:tcW w:type="dxa" w:w="5100"/>
            <w:tcMar>
              <w:top w:type="dxa" w:w="100"/>
              <w:left w:type="dxa" w:w="120"/>
              <w:bottom w:type="dxa" w:w="100"/>
              <w:right w:type="dxa" w:w="120"/>
            </w:tcMar>
          </w:tcPr>
          <w:p>
            <w:r>
              <w:rPr>
                <w:b w:val="false"/>
                <w:bCs w:val="false"/>
                <w:color w:val="000000"/>
                <w:sz w:val="19"/>
                <w:szCs w:val="19"/>
              </w:rPr>
              <w:t xml:space="preserve">Commodity problem, solved well and cheaply by existing APIs. Rebuilding wastes engineering time.</w:t>
            </w:r>
          </w:p>
        </w:tc>
      </w:tr>
      <w:tr>
        <w:tc>
          <w:tcPr>
            <w:tcW w:type="dxa" w:w="2600"/>
            <w:tcMar>
              <w:top w:type="dxa" w:w="100"/>
              <w:left w:type="dxa" w:w="120"/>
              <w:bottom w:type="dxa" w:w="100"/>
              <w:right w:type="dxa" w:w="120"/>
            </w:tcMar>
          </w:tcPr>
          <w:p>
            <w:r>
              <w:rPr>
                <w:b w:val="false"/>
                <w:bCs w:val="false"/>
                <w:color w:val="000000"/>
                <w:sz w:val="19"/>
                <w:szCs w:val="19"/>
              </w:rPr>
              <w:t xml:space="preserve">Branded graphic/carousel generation</w:t>
            </w:r>
          </w:p>
        </w:tc>
        <w:tc>
          <w:tcPr>
            <w:tcW w:type="dxa" w:w="1800"/>
            <w:shd w:fill="FCEFC7" w:val="clear"/>
            <w:tcMar>
              <w:top w:type="dxa" w:w="100"/>
              <w:left w:type="dxa" w:w="120"/>
              <w:bottom w:type="dxa" w:w="100"/>
              <w:right w:type="dxa" w:w="120"/>
            </w:tcMar>
          </w:tcPr>
          <w:p>
            <w:r>
              <w:rPr>
                <w:b w:val="false"/>
                <w:bCs w:val="false"/>
                <w:color w:val="000000"/>
                <w:sz w:val="19"/>
                <w:szCs w:val="19"/>
              </w:rPr>
              <w:t xml:space="preserve">Integrate (Canva Connect API)</w:t>
            </w:r>
          </w:p>
        </w:tc>
        <w:tc>
          <w:tcPr>
            <w:tcW w:type="dxa" w:w="5100"/>
            <w:tcMar>
              <w:top w:type="dxa" w:w="100"/>
              <w:left w:type="dxa" w:w="120"/>
              <w:bottom w:type="dxa" w:w="100"/>
              <w:right w:type="dxa" w:w="120"/>
            </w:tcMar>
          </w:tcPr>
          <w:p>
            <w:r>
              <w:rPr>
                <w:b w:val="false"/>
                <w:bCs w:val="false"/>
                <w:color w:val="000000"/>
                <w:sz w:val="19"/>
                <w:szCs w:val="19"/>
              </w:rPr>
              <w:t xml:space="preserve">Canva's brand-kit API already does this well.</w:t>
            </w:r>
          </w:p>
        </w:tc>
      </w:tr>
      <w:tr>
        <w:tc>
          <w:tcPr>
            <w:tcW w:type="dxa" w:w="2600"/>
            <w:tcMar>
              <w:top w:type="dxa" w:w="100"/>
              <w:left w:type="dxa" w:w="120"/>
              <w:bottom w:type="dxa" w:w="100"/>
              <w:right w:type="dxa" w:w="120"/>
            </w:tcMar>
          </w:tcPr>
          <w:p>
            <w:r>
              <w:rPr>
                <w:b w:val="false"/>
                <w:bCs w:val="false"/>
                <w:color w:val="000000"/>
                <w:sz w:val="19"/>
                <w:szCs w:val="19"/>
              </w:rPr>
              <w:t xml:space="preserve">CRM / donor database</w:t>
            </w:r>
          </w:p>
        </w:tc>
        <w:tc>
          <w:tcPr>
            <w:tcW w:type="dxa" w:w="1800"/>
            <w:shd w:fill="FCEFC7" w:val="clear"/>
            <w:tcMar>
              <w:top w:type="dxa" w:w="100"/>
              <w:left w:type="dxa" w:w="120"/>
              <w:bottom w:type="dxa" w:w="100"/>
              <w:right w:type="dxa" w:w="120"/>
            </w:tcMar>
          </w:tcPr>
          <w:p>
            <w:r>
              <w:rPr>
                <w:b w:val="false"/>
                <w:bCs w:val="false"/>
                <w:color w:val="000000"/>
                <w:sz w:val="19"/>
                <w:szCs w:val="19"/>
              </w:rPr>
              <w:t xml:space="preserve">Integrate, don't replace</w:t>
            </w:r>
          </w:p>
        </w:tc>
        <w:tc>
          <w:tcPr>
            <w:tcW w:type="dxa" w:w="5100"/>
            <w:tcMar>
              <w:top w:type="dxa" w:w="100"/>
              <w:left w:type="dxa" w:w="120"/>
              <w:bottom w:type="dxa" w:w="100"/>
              <w:right w:type="dxa" w:w="120"/>
            </w:tcMar>
          </w:tcPr>
          <w:p>
            <w:r>
              <w:rPr>
                <w:b w:val="false"/>
                <w:bCs w:val="false"/>
                <w:color w:val="000000"/>
                <w:sz w:val="19"/>
                <w:szCs w:val="19"/>
              </w:rPr>
              <w:t xml:space="preserve">Read/write into whatever the org already uses via API/webhook. Never ask an NGO to migrate off its donor database.</w:t>
            </w:r>
          </w:p>
        </w:tc>
      </w:tr>
      <w:tr>
        <w:tc>
          <w:tcPr>
            <w:tcW w:type="dxa" w:w="2600"/>
            <w:tcMar>
              <w:top w:type="dxa" w:w="100"/>
              <w:left w:type="dxa" w:w="120"/>
              <w:bottom w:type="dxa" w:w="100"/>
              <w:right w:type="dxa" w:w="120"/>
            </w:tcMar>
          </w:tcPr>
          <w:p>
            <w:r>
              <w:rPr>
                <w:b w:val="false"/>
                <w:bCs w:val="false"/>
                <w:color w:val="000000"/>
                <w:sz w:val="19"/>
                <w:szCs w:val="19"/>
              </w:rPr>
              <w:t xml:space="preserve">Pitch deck / donor report generation</w:t>
            </w:r>
          </w:p>
        </w:tc>
        <w:tc>
          <w:tcPr>
            <w:tcW w:type="dxa" w:w="1800"/>
            <w:shd w:fill="F0E4E4" w:val="clear"/>
            <w:tcMar>
              <w:top w:type="dxa" w:w="100"/>
              <w:left w:type="dxa" w:w="120"/>
              <w:bottom w:type="dxa" w:w="100"/>
              <w:right w:type="dxa" w:w="120"/>
            </w:tcMar>
          </w:tcPr>
          <w:p>
            <w:r>
              <w:rPr>
                <w:b w:val="false"/>
                <w:bCs w:val="false"/>
                <w:color w:val="000000"/>
                <w:sz w:val="19"/>
                <w:szCs w:val="19"/>
              </w:rPr>
              <w:t xml:space="preserve">Defer to Phase 1.5</w:t>
            </w:r>
          </w:p>
        </w:tc>
        <w:tc>
          <w:tcPr>
            <w:tcW w:type="dxa" w:w="5100"/>
            <w:tcMar>
              <w:top w:type="dxa" w:w="100"/>
              <w:left w:type="dxa" w:w="120"/>
              <w:bottom w:type="dxa" w:w="100"/>
              <w:right w:type="dxa" w:w="120"/>
            </w:tcMar>
          </w:tcPr>
          <w:p>
            <w:r>
              <w:rPr>
                <w:b w:val="false"/>
                <w:bCs w:val="false"/>
                <w:color w:val="000000"/>
                <w:sz w:val="19"/>
                <w:szCs w:val="19"/>
              </w:rPr>
              <w:t xml:space="preserve">Real feature, lower frequency of use, shouldn't compete for build time against weekly-use features.</w:t>
            </w:r>
          </w:p>
        </w:tc>
      </w:tr>
      <w:tr>
        <w:tc>
          <w:tcPr>
            <w:tcW w:type="dxa" w:w="2600"/>
            <w:tcMar>
              <w:top w:type="dxa" w:w="100"/>
              <w:left w:type="dxa" w:w="120"/>
              <w:bottom w:type="dxa" w:w="100"/>
              <w:right w:type="dxa" w:w="120"/>
            </w:tcMar>
          </w:tcPr>
          <w:p>
            <w:r>
              <w:rPr>
                <w:b w:val="false"/>
                <w:bCs w:val="false"/>
                <w:color w:val="000000"/>
                <w:sz w:val="19"/>
                <w:szCs w:val="19"/>
              </w:rPr>
              <w:t xml:space="preserve">Video scripts, landing pages</w:t>
            </w:r>
          </w:p>
        </w:tc>
        <w:tc>
          <w:tcPr>
            <w:tcW w:type="dxa" w:w="1800"/>
            <w:shd w:fill="F0E4E4" w:val="clear"/>
            <w:tcMar>
              <w:top w:type="dxa" w:w="100"/>
              <w:left w:type="dxa" w:w="120"/>
              <w:bottom w:type="dxa" w:w="100"/>
              <w:right w:type="dxa" w:w="120"/>
            </w:tcMar>
          </w:tcPr>
          <w:p>
            <w:r>
              <w:rPr>
                <w:b w:val="false"/>
                <w:bCs w:val="false"/>
                <w:color w:val="000000"/>
                <w:sz w:val="19"/>
                <w:szCs w:val="19"/>
              </w:rPr>
              <w:t xml:space="preserve">Defer to Phase 2</w:t>
            </w:r>
          </w:p>
        </w:tc>
        <w:tc>
          <w:tcPr>
            <w:tcW w:type="dxa" w:w="5100"/>
            <w:tcMar>
              <w:top w:type="dxa" w:w="100"/>
              <w:left w:type="dxa" w:w="120"/>
              <w:bottom w:type="dxa" w:w="100"/>
              <w:right w:type="dxa" w:w="120"/>
            </w:tcMar>
          </w:tcPr>
          <w:p>
            <w:r>
              <w:rPr>
                <w:b w:val="false"/>
                <w:bCs w:val="false"/>
                <w:color w:val="000000"/>
                <w:sz w:val="19"/>
                <w:szCs w:val="19"/>
              </w:rPr>
              <w:t xml:space="preserve">Same logic, lower frequency, higher build cost relative to value right now.</w:t>
            </w:r>
          </w:p>
        </w:tc>
      </w:tr>
      <w:tr>
        <w:tc>
          <w:tcPr>
            <w:tcW w:type="dxa" w:w="2600"/>
            <w:tcMar>
              <w:top w:type="dxa" w:w="100"/>
              <w:left w:type="dxa" w:w="120"/>
              <w:bottom w:type="dxa" w:w="100"/>
              <w:right w:type="dxa" w:w="120"/>
            </w:tcMar>
          </w:tcPr>
          <w:p>
            <w:r>
              <w:rPr>
                <w:b w:val="false"/>
                <w:bCs w:val="false"/>
                <w:color w:val="000000"/>
                <w:sz w:val="19"/>
                <w:szCs w:val="19"/>
              </w:rPr>
              <w:t xml:space="preserve">Funder/investor/cohort matching layer</w:t>
            </w:r>
          </w:p>
        </w:tc>
        <w:tc>
          <w:tcPr>
            <w:tcW w:type="dxa" w:w="1800"/>
            <w:shd w:fill="F0E4E4" w:val="clear"/>
            <w:tcMar>
              <w:top w:type="dxa" w:w="100"/>
              <w:left w:type="dxa" w:w="120"/>
              <w:bottom w:type="dxa" w:w="100"/>
              <w:right w:type="dxa" w:w="120"/>
            </w:tcMar>
          </w:tcPr>
          <w:p>
            <w:r>
              <w:rPr>
                <w:b w:val="false"/>
                <w:bCs w:val="false"/>
                <w:color w:val="000000"/>
                <w:sz w:val="19"/>
                <w:szCs w:val="19"/>
              </w:rPr>
              <w:t xml:space="preserve">Defer to Phase 3</w:t>
            </w:r>
          </w:p>
        </w:tc>
        <w:tc>
          <w:tcPr>
            <w:tcW w:type="dxa" w:w="5100"/>
            <w:tcMar>
              <w:top w:type="dxa" w:w="100"/>
              <w:left w:type="dxa" w:w="120"/>
              <w:bottom w:type="dxa" w:w="100"/>
              <w:right w:type="dxa" w:w="120"/>
            </w:tcMar>
          </w:tcPr>
          <w:p>
            <w:r>
              <w:rPr>
                <w:b w:val="false"/>
                <w:bCs w:val="false"/>
                <w:color w:val="000000"/>
                <w:sz w:val="19"/>
                <w:szCs w:val="19"/>
              </w:rPr>
              <w:t xml:space="preserve">A second product. No incumbent has proven this combined with visibility tooling. Earn the right with Phase 1 case studies first.</w:t>
            </w:r>
          </w:p>
        </w:tc>
      </w:tr>
      <w:tr>
        <w:tc>
          <w:tcPr>
            <w:tcW w:type="dxa" w:w="2600"/>
            <w:tcMar>
              <w:top w:type="dxa" w:w="100"/>
              <w:left w:type="dxa" w:w="120"/>
              <w:bottom w:type="dxa" w:w="100"/>
              <w:right w:type="dxa" w:w="120"/>
            </w:tcMar>
          </w:tcPr>
          <w:p>
            <w:r>
              <w:rPr>
                <w:b w:val="false"/>
                <w:bCs w:val="false"/>
                <w:color w:val="000000"/>
                <w:sz w:val="19"/>
                <w:szCs w:val="19"/>
              </w:rPr>
              <w:t xml:space="preserve">Social enterprise track</w:t>
            </w:r>
          </w:p>
        </w:tc>
        <w:tc>
          <w:tcPr>
            <w:tcW w:type="dxa" w:w="1800"/>
            <w:shd w:fill="F0E4E4" w:val="clear"/>
            <w:tcMar>
              <w:top w:type="dxa" w:w="100"/>
              <w:left w:type="dxa" w:w="120"/>
              <w:bottom w:type="dxa" w:w="100"/>
              <w:right w:type="dxa" w:w="120"/>
            </w:tcMar>
          </w:tcPr>
          <w:p>
            <w:r>
              <w:rPr>
                <w:b w:val="false"/>
                <w:bCs w:val="false"/>
                <w:color w:val="000000"/>
                <w:sz w:val="19"/>
                <w:szCs w:val="19"/>
              </w:rPr>
              <w:t xml:space="preserve">Defer to Phase 2</w:t>
            </w:r>
          </w:p>
        </w:tc>
        <w:tc>
          <w:tcPr>
            <w:tcW w:type="dxa" w:w="5100"/>
            <w:tcMar>
              <w:top w:type="dxa" w:w="100"/>
              <w:left w:type="dxa" w:w="120"/>
              <w:bottom w:type="dxa" w:w="100"/>
              <w:right w:type="dxa" w:w="120"/>
            </w:tcMar>
          </w:tcPr>
          <w:p>
            <w:r>
              <w:rPr>
                <w:b w:val="false"/>
                <w:bCs w:val="false"/>
                <w:color w:val="000000"/>
                <w:sz w:val="19"/>
                <w:szCs w:val="19"/>
              </w:rPr>
              <w:t xml:space="preserve">Different buyer, different pain, different pricing logic. Don't split focus in Phase 1.</w:t>
            </w:r>
          </w:p>
        </w:tc>
      </w:tr>
    </w:tbl>
    <w:p>
      <w:pPr>
        <w:spacing w:after="200"/>
      </w:pPr>
    </w:p>
    <w:p>
      <w:pPr>
        <w:pStyle w:val="Heading1"/>
        <w:spacing w:after="160" w:before="320"/>
      </w:pPr>
      <w:r>
        <w:t xml:space="preserve">4. Core user journey (the operational playbook)</w:t>
      </w:r>
    </w:p>
    <w:p>
      <w:pPr>
        <w:spacing w:after="160"/>
      </w:pPr>
      <w:r>
        <w:t xml:space="preserve">This is the loop the product runs, and it should be visible to the org as a single narrative, not a grab-bag of tools:</w:t>
      </w:r>
    </w:p>
    <w:p>
      <w:pPr>
        <w:spacing w:after="120"/>
      </w:pPr>
      <w:r>
        <w:rPr>
          <w:b/>
          <w:bCs/>
          <w:color w:val="1F2A44"/>
        </w:rPr>
        <w:t xml:space="preserve">1. </w:t>
      </w:r>
      <w:r>
        <w:t xml:space="preserve">Sign up (direct) or get added (sponsor allocates a seat and invites the org). Either path lands in the same product.</w:t>
      </w:r>
    </w:p>
    <w:p>
      <w:pPr>
        <w:spacing w:after="120"/>
      </w:pPr>
      <w:r>
        <w:rPr>
          <w:b/>
          <w:bCs/>
          <w:color w:val="1F2A44"/>
        </w:rPr>
        <w:t xml:space="preserve">2. </w:t>
      </w:r>
      <w:r>
        <w:t xml:space="preserve">Intake: 5-question brand-voice worksheet (already written, see intake-and-brand-voice.md) plus the org's website URL, legal structure (Society/Trust/Section 8 Company), 12A/80G status, and, critically, FCRA registration status, asked explicitly and early, not buried. This single answer decides whether the Ad Grants module is even shown to this org, so it needs to be asked before the product sets any expectations, not discovered later when Google's own verification rejects them.</w:t>
      </w:r>
    </w:p>
    <w:p>
      <w:pPr>
        <w:spacing w:after="120"/>
      </w:pPr>
      <w:r>
        <w:rPr>
          <w:b/>
          <w:bCs/>
          <w:color w:val="1F2A44"/>
        </w:rPr>
        <w:t xml:space="preserve">3. </w:t>
      </w:r>
      <w:r>
        <w:t xml:space="preserve">Branch on FCRA status. If registered: connect the Google Ads/Ad Grant account via OAuth (or route into the Goodstack-verification-prep flow in Section 7 if the org doesn't have an account yet) and continue to the full audit. If not registered: skip the Ad Grants track entirely, no module, no “you could be claiming ₹8.3L” teaser, nothing promising a benefit this org legally cannot access. Google excludes these orgs before SEctOr is ever involved, and the product should never look like it's the one making that call or hiding the reason.</w:t>
      </w:r>
    </w:p>
    <w:p>
      <w:pPr>
        <w:spacing w:after="120"/>
      </w:pPr>
      <w:r>
        <w:rPr>
          <w:b/>
          <w:bCs/>
          <w:color w:val="1F2A44"/>
        </w:rPr>
        <w:t xml:space="preserve">4. </w:t>
      </w:r>
      <w:r>
        <w:t xml:space="preserve">Automatic audit runs: SEO/GEO crawl of the site (schema, H-tag hierarchy, robots.txt/AI-crawler access, FAQ presence, freshness) for every org, plus the Ad Grants check (is the org enrolled, what's the compliance status, how much of the $10K/month, roughly ₹8.3L, is going unused) only for FCRA-registered orgs. For those orgs this produces the first “wow” moment, a scored report with a real reclaimable-rupee number on it. For everyone else, the SEO/GEO score itself is the opening result, still a real, provable number, just not the ad-grant one.</w:t>
      </w:r>
    </w:p>
    <w:p>
      <w:pPr>
        <w:spacing w:after="120"/>
      </w:pPr>
      <w:r>
        <w:rPr>
          <w:b/>
          <w:bCs/>
          <w:color w:val="1F2A44"/>
        </w:rPr>
        <w:t xml:space="preserve">5. </w:t>
      </w:r>
      <w:r>
        <w:t xml:space="preserve">Prioritized action plan: the audit converts into a ranked to-do list, not a wall of findings, mirroring the impact-to-effort prioritization logic already built into the toolkit's audit skill.</w:t>
      </w:r>
    </w:p>
    <w:p>
      <w:pPr>
        <w:spacing w:after="120"/>
      </w:pPr>
      <w:r>
        <w:rPr>
          <w:b/>
          <w:bCs/>
          <w:color w:val="1F2A44"/>
        </w:rPr>
        <w:t xml:space="preserve">6. </w:t>
      </w:r>
      <w:r>
        <w:t xml:space="preserve">Content engine kicks in: based on the intake and a small number of confirmed goals (the toolkit's “4–6 pillars, not an open list” rule), SEctOr drafts a first content calendar and the first 1–2 blog posts, GEO-structured, for human review before anything ships.</w:t>
      </w:r>
    </w:p>
    <w:p>
      <w:pPr>
        <w:spacing w:after="120"/>
      </w:pPr>
      <w:r>
        <w:rPr>
          <w:b/>
          <w:bCs/>
          <w:color w:val="1F2A44"/>
        </w:rPr>
        <w:t xml:space="preserve">7. </w:t>
      </w:r>
      <w:r>
        <w:t xml:space="preserve">Human-in-the-loop review: nothing publishes without a one-click approve, because donor-facing and public content from an NGO is trust-sensitive.</w:t>
      </w:r>
    </w:p>
    <w:p>
      <w:pPr>
        <w:spacing w:after="120"/>
      </w:pPr>
      <w:r>
        <w:rPr>
          <w:b/>
          <w:bCs/>
          <w:color w:val="1F2A44"/>
        </w:rPr>
        <w:t xml:space="preserve">8. </w:t>
      </w:r>
      <w:r>
        <w:t xml:space="preserve">Ongoing cadence: weekly digest, what shipped, what's due for review, and, for FCRA-registered orgs only, what the Ad Grant account needs (compliance nudges before Google suspends an underperforming account).</w:t>
      </w:r>
    </w:p>
    <w:p>
      <w:pPr>
        <w:spacing w:after="120"/>
      </w:pPr>
      <w:r>
        <w:rPr>
          <w:b/>
          <w:bCs/>
          <w:color w:val="1F2A44"/>
        </w:rPr>
        <w:t xml:space="preserve">9. </w:t>
      </w:r>
      <w:r>
        <w:t xml:space="preserve">Reporting: a simple dashboard the org (and, if applicable, its sponsor) can see, visibility score trend and content shipped for everyone, plus rupees reclaimed for the subset with an active Ad Grant. A sponsor funding a mixed cohort should see both numbers rolled up honestly, not a single blended figure implying every NGO got an Ad Grant benefit when only some legally could.</w:t>
      </w:r>
    </w:p>
    <w:p>
      <w:pPr>
        <w:pStyle w:val="Heading1"/>
        <w:spacing w:after="160" w:before="320"/>
      </w:pPr>
      <w:r>
        <w:t xml:space="preserve">5. System architecture</w:t>
      </w:r>
    </w:p>
    <w:p>
      <w:pPr>
        <w:spacing w:after="160"/>
      </w:pPr>
      <w:r>
        <w:t xml:space="preserve">Keep this boring and fast to build. Three developers should optimize for shipping the walking skeleton in Section 8, not for architectural elegance.</w:t>
      </w:r>
    </w:p>
    <w:p>
      <w:pPr>
        <w:pStyle w:val="ListParagraph"/>
        <w:numPr>
          <w:ilvl w:val="0"/>
          <w:numId w:val="2"/>
        </w:numPr>
        <w:spacing w:after="80"/>
      </w:pPr>
      <w:r>
        <w:rPr>
          <w:b/>
          <w:bCs/>
        </w:rPr>
        <w:t xml:space="preserve">Frontend/backend: </w:t>
      </w:r>
      <w:r>
        <w:t xml:space="preserve">a single Next.js (TypeScript) app, API routes for backend logic. One stack, one language, no coordination tax.</w:t>
      </w:r>
    </w:p>
    <w:p>
      <w:pPr>
        <w:pStyle w:val="ListParagraph"/>
        <w:numPr>
          <w:ilvl w:val="0"/>
          <w:numId w:val="2"/>
        </w:numPr>
        <w:spacing w:after="80"/>
      </w:pPr>
      <w:r>
        <w:rPr>
          <w:b/>
          <w:bCs/>
        </w:rPr>
        <w:t xml:space="preserve">Database: </w:t>
      </w:r>
      <w:r>
        <w:t xml:space="preserve">Postgres (Supabase is a reasonable managed option if you want auth + storage + Postgres in one place).</w:t>
      </w:r>
    </w:p>
    <w:p>
      <w:pPr>
        <w:pStyle w:val="ListParagraph"/>
        <w:numPr>
          <w:ilvl w:val="0"/>
          <w:numId w:val="2"/>
        </w:numPr>
        <w:spacing w:after="80"/>
      </w:pPr>
      <w:r>
        <w:rPr>
          <w:b/>
          <w:bCs/>
        </w:rPr>
        <w:t xml:space="preserve">Job queue / scheduled work: </w:t>
      </w:r>
      <w:r>
        <w:t xml:space="preserve">something lightweight (e.g. Inngest or a cron-triggered serverless function) for recurring jobs, weekly Ad Grant compliance checks, scheduled audits, digest emails.</w:t>
      </w:r>
    </w:p>
    <w:p>
      <w:pPr>
        <w:pStyle w:val="ListParagraph"/>
        <w:numPr>
          <w:ilvl w:val="0"/>
          <w:numId w:val="2"/>
        </w:numPr>
        <w:spacing w:after="80"/>
      </w:pPr>
      <w:r>
        <w:rPr>
          <w:b/>
          <w:bCs/>
        </w:rPr>
        <w:t xml:space="preserve">AI orchestration layer: </w:t>
      </w:r>
      <w:r>
        <w:t xml:space="preserve">a thin internal service that calls the Claude/Anthropic API (or is model-agnostic behind an interface) with the prompt library described in Section 7. This is the part your AI-savvy developers should spend the most design care on, because it's the actual product.</w:t>
      </w:r>
    </w:p>
    <w:p>
      <w:pPr>
        <w:pStyle w:val="ListParagraph"/>
        <w:numPr>
          <w:ilvl w:val="0"/>
          <w:numId w:val="2"/>
        </w:numPr>
        <w:spacing w:after="80"/>
      </w:pPr>
      <w:r>
        <w:rPr>
          <w:b/>
          <w:bCs/>
        </w:rPr>
        <w:t xml:space="preserve">Integrations: </w:t>
      </w:r>
      <w:r>
        <w:t xml:space="preserve">Google Ads API (OAuth, real complexity and quota/compliance rules, budget real time), Google Search Console API + a basic crawler (SEO/GEO audit), Buffer or Later API (Phase 1.5, scheduling), Canva Connect API (Phase 1.5, design).</w:t>
      </w:r>
    </w:p>
    <w:p>
      <w:pPr>
        <w:pStyle w:val="ListParagraph"/>
        <w:numPr>
          <w:ilvl w:val="0"/>
          <w:numId w:val="2"/>
        </w:numPr>
        <w:spacing w:after="80"/>
      </w:pPr>
      <w:r>
        <w:rPr>
          <w:b/>
          <w:bCs/>
        </w:rPr>
        <w:t xml:space="preserve">Billing: </w:t>
      </w:r>
      <w:r>
        <w:t xml:space="preserve">Razorpay or Cashfree, not Stripe, for domestic INR recurring billing. Indian SaaS companies overwhelmingly use one of these two because they handle RBI's e-mandate/UPI Autopay rules for recurring debits natively, which Stripe's India offering doesn't prioritize the same way. Confirm the exact pick with a direct comparison before building.</w:t>
      </w:r>
    </w:p>
    <w:p>
      <w:pPr>
        <w:pStyle w:val="ListParagraph"/>
        <w:numPr>
          <w:ilvl w:val="0"/>
          <w:numId w:val="2"/>
        </w:numPr>
        <w:spacing w:after="80"/>
      </w:pPr>
      <w:r>
        <w:rPr>
          <w:b/>
          <w:bCs/>
        </w:rPr>
        <w:t xml:space="preserve">GST: </w:t>
      </w:r>
      <w:r>
        <w:t xml:space="preserve">18% GST applies to SaaS subscription revenue in India regardless of the buyer being a nonprofit, no purchaser-side exemption. SEctOr needs its own GST registration, and pricing needs a clear GST-inclusive vs. exclusive call before checkout is built.</w:t>
      </w:r>
    </w:p>
    <w:p>
      <w:pPr>
        <w:pStyle w:val="ListParagraph"/>
        <w:numPr>
          <w:ilvl w:val="0"/>
          <w:numId w:val="2"/>
        </w:numPr>
        <w:spacing w:after="80"/>
      </w:pPr>
      <w:r>
        <w:rPr>
          <w:b/>
          <w:bCs/>
        </w:rPr>
        <w:t xml:space="preserve">Auth: </w:t>
      </w:r>
      <w:r>
        <w:t xml:space="preserve">standard email/OAuth, plus a distinct “sponsor” role that can see aggregate dashboards across the orgs it's funding but not each org's private data by default, a real permissions model from day one.</w:t>
      </w:r>
    </w:p>
    <w:p>
      <w:pPr>
        <w:pStyle w:val="Heading1"/>
        <w:spacing w:after="160" w:before="320"/>
      </w:pPr>
      <w:r>
        <w:t xml:space="preserve">6. Data model sketch</w:t>
      </w:r>
    </w:p>
    <w:p>
      <w:pPr>
        <w:spacing w:after="160"/>
      </w:pPr>
      <w:r>
        <w:t xml:space="preserve">Rough shape, not a schema, enough for your developers to start real modeling:</w:t>
      </w:r>
    </w:p>
    <w:p>
      <w:pPr>
        <w:pStyle w:val="ListParagraph"/>
        <w:numPr>
          <w:ilvl w:val="0"/>
          <w:numId w:val="2"/>
        </w:numPr>
        <w:spacing w:after="80"/>
      </w:pPr>
      <w:r>
        <w:t xml:space="preserve">Organization (name, sector, brand-voice intake answers, website URL, legal structure: Society/Trust/Section 8 Company, 12A &amp; 80G status, FCRA registration status, a boolean/enum set at intake that the application layer reads before ever rendering the Ad Grants module; required for Google Ad Grants eligibility specifically, sponsor-seat eligibility is unaffected)</w:t>
      </w:r>
    </w:p>
    <w:p>
      <w:pPr>
        <w:pStyle w:val="ListParagraph"/>
        <w:numPr>
          <w:ilvl w:val="0"/>
          <w:numId w:val="2"/>
        </w:numPr>
        <w:spacing w:after="80"/>
      </w:pPr>
      <w:r>
        <w:t xml:space="preserve">User (belongs to an Organization, role: admin/editor)</w:t>
      </w:r>
    </w:p>
    <w:p>
      <w:pPr>
        <w:pStyle w:val="ListParagraph"/>
        <w:numPr>
          <w:ilvl w:val="0"/>
          <w:numId w:val="2"/>
        </w:numPr>
        <w:spacing w:after="80"/>
      </w:pPr>
      <w:r>
        <w:t xml:space="preserve">Sponsor (a CSR team or foundation; can fund N Seats)</w:t>
      </w:r>
    </w:p>
    <w:p>
      <w:pPr>
        <w:pStyle w:val="ListParagraph"/>
        <w:numPr>
          <w:ilvl w:val="0"/>
          <w:numId w:val="2"/>
        </w:numPr>
        <w:spacing w:after="80"/>
      </w:pPr>
      <w:r>
        <w:t xml:space="preserve">Seat (links a Sponsor to an Organization; status: active/pending/expired)</w:t>
      </w:r>
    </w:p>
    <w:p>
      <w:pPr>
        <w:pStyle w:val="ListParagraph"/>
        <w:numPr>
          <w:ilvl w:val="0"/>
          <w:numId w:val="2"/>
        </w:numPr>
        <w:spacing w:after="80"/>
      </w:pPr>
      <w:r>
        <w:t xml:space="preserve">Subscription (Razorpay/Cashfree reference; direct-pay or sponsor-funded; tied to an Organization)</w:t>
      </w:r>
    </w:p>
    <w:p>
      <w:pPr>
        <w:pStyle w:val="ListParagraph"/>
        <w:numPr>
          <w:ilvl w:val="0"/>
          <w:numId w:val="2"/>
        </w:numPr>
        <w:spacing w:after="80"/>
      </w:pPr>
      <w:r>
        <w:t xml:space="preserve">AdGrantAccount (OAuth token, linked Google Ads account ID, compliance status, monthly spend vs. ₹8.3L (~$10K) cap, last checked date, current CTR, lowest keyword quality score, conversion-tracking health, days since last account activity)</w:t>
      </w:r>
    </w:p>
    <w:p>
      <w:pPr>
        <w:pStyle w:val="ListParagraph"/>
        <w:numPr>
          <w:ilvl w:val="0"/>
          <w:numId w:val="2"/>
        </w:numPr>
        <w:spacing w:after="80"/>
      </w:pPr>
      <w:r>
        <w:t xml:space="preserve">SEOAudit (score, findings list, timestamp; historical so trend lines are possible)</w:t>
      </w:r>
    </w:p>
    <w:p>
      <w:pPr>
        <w:pStyle w:val="ListParagraph"/>
        <w:numPr>
          <w:ilvl w:val="0"/>
          <w:numId w:val="2"/>
        </w:numPr>
        <w:spacing w:after="80"/>
      </w:pPr>
      <w:r>
        <w:t xml:space="preserve">ContentPillar (belongs to an Organization; the 4–6 confirmed goals from intake)</w:t>
      </w:r>
    </w:p>
    <w:p>
      <w:pPr>
        <w:pStyle w:val="ListParagraph"/>
        <w:numPr>
          <w:ilvl w:val="0"/>
          <w:numId w:val="2"/>
        </w:numPr>
        <w:spacing w:after="80"/>
      </w:pPr>
      <w:r>
        <w:t xml:space="preserve">ContentAsset (draft/approved/published; type: blog/caption/etc.; linked to a ContentPillar; AI-generated with a human-approval timestamp)</w:t>
      </w:r>
    </w:p>
    <w:p>
      <w:pPr>
        <w:pStyle w:val="ListParagraph"/>
        <w:numPr>
          <w:ilvl w:val="0"/>
          <w:numId w:val="2"/>
        </w:numPr>
        <w:spacing w:after="80"/>
      </w:pPr>
      <w:r>
        <w:t xml:space="preserve">CalendarItem (scheduled date, platform, linked ContentAsset, status)</w:t>
      </w:r>
    </w:p>
    <w:p>
      <w:pPr>
        <w:pStyle w:val="Heading1"/>
        <w:spacing w:after="160" w:before="320"/>
      </w:pPr>
      <w:r>
        <w:t xml:space="preserve">7. The AI orchestration layer: don't rebuild the playbook, reuse it</w:t>
      </w:r>
    </w:p>
    <w:p>
      <w:pPr>
        <w:spacing w:after="160"/>
      </w:pPr>
      <w:r>
        <w:t xml:space="preserve">This is the part that should save real build time. The ngo-marcomm-toolkit skill already delivered is not just a chat tool, it's a written-out knowledge base: the SEO/GEO checklist, the platform-by-platform social mechanics, the content-calendar and SOP logic, the brand-voice intake worksheet, the outreach framework. Treat those reference files as v0 of the prompt library, hand them to the developers as-is, and structure the AI layer as a small set of specialized agents, each calling the model with the relevant reference file as grounding context, rather than one giant do-everything prompt:</w:t>
      </w:r>
    </w:p>
    <w:p>
      <w:pPr>
        <w:pStyle w:val="ListParagraph"/>
        <w:numPr>
          <w:ilvl w:val="0"/>
          <w:numId w:val="2"/>
        </w:numPr>
        <w:spacing w:after="80"/>
      </w:pPr>
      <w:r>
        <w:rPr>
          <w:b/>
          <w:bCs/>
        </w:rPr>
        <w:t xml:space="preserve">Intake/Voice Agent, </w:t>
      </w:r>
      <w:r>
        <w:t xml:space="preserve">runs the 5-question worksheet logic, produces a stored “voice brief” reused by every other agent.</w:t>
      </w:r>
    </w:p>
    <w:p>
      <w:pPr>
        <w:pStyle w:val="ListParagraph"/>
        <w:numPr>
          <w:ilvl w:val="0"/>
          <w:numId w:val="2"/>
        </w:numPr>
        <w:spacing w:after="80"/>
      </w:pPr>
      <w:r>
        <w:rPr>
          <w:b/>
          <w:bCs/>
        </w:rPr>
        <w:t xml:space="preserve">Audit Agent, </w:t>
      </w:r>
      <w:r>
        <w:t xml:space="preserve">runs the SEO/GEO checklist against a crawled site, outputs scored, prioritized findings.</w:t>
      </w:r>
    </w:p>
    <w:p>
      <w:pPr>
        <w:pStyle w:val="ListParagraph"/>
        <w:numPr>
          <w:ilvl w:val="0"/>
          <w:numId w:val="2"/>
        </w:numPr>
        <w:spacing w:after="80"/>
      </w:pPr>
      <w:r>
        <w:rPr>
          <w:b/>
          <w:bCs/>
        </w:rPr>
        <w:t xml:space="preserve">Ad Grants Agent, </w:t>
      </w:r>
      <w:r>
        <w:t xml:space="preserve">reads the connected Google Ads account and watches the specific things Google actually enforces, not generic ad performance: account-level CTR against the 5% threshold (a warning at one bad month, real risk at two consecutive), keyword quality scores below 3 that need pausing or fixing, whether conversion tracking is live and recording at least one real conversion a month, whether Smart Bidding is active (mandatory as of 2026, manual CPC is no longer allowed), account structure minimums (2 ad groups per campaign, 2 ads per group, 2 sitelinks), and days since the account was last touched (90 days reads as abandonment to Google). This is a compliance-monitoring agent first and a campaign-optimization agent second, losing the account entirely is a much worse outcome than a mediocre campaign. Verification partner confirmed: Google's own India eligibility page states directly that Goodstack is the validation partner for Google for Nonprofits, TechSoup/NASSCOM Foundation's BigTech portal is the old route. It's a manual document-review process (Goodstack emails the org from verifications@mail.goodstack.org, typically 3–5 working days), not an API call, so SEctOr's job is preparing the NGO's documentation correctly before submission and tracking the resulting status, not automating the verification itself. Eligibility also requires FCRA registration for Indian nonprofits, confirmed on the same official Google page, alongside Society/Trust/Section 8 Company structure and 12A status, a real gate, since plenty of small NGOs don't hold FCRA registration. Surface this in onboarding rather than assuming every NGO clears it, concretely, this agent should never activate at all for an Organization whose FCRA status isn't confirmed true, per the Step 3 branch in Section 4.</w:t>
      </w:r>
    </w:p>
    <w:p>
      <w:pPr>
        <w:pStyle w:val="ListParagraph"/>
        <w:numPr>
          <w:ilvl w:val="0"/>
          <w:numId w:val="2"/>
        </w:numPr>
        <w:spacing w:after="80"/>
      </w:pPr>
      <w:r>
        <w:rPr>
          <w:b/>
          <w:bCs/>
        </w:rPr>
        <w:t xml:space="preserve">Content Agent, </w:t>
      </w:r>
      <w:r>
        <w:t xml:space="preserve">drafts blog posts and captions against the GEO checklist and the org's voice brief and confirmed pillars.</w:t>
      </w:r>
    </w:p>
    <w:p>
      <w:pPr>
        <w:pStyle w:val="ListParagraph"/>
        <w:numPr>
          <w:ilvl w:val="0"/>
          <w:numId w:val="2"/>
        </w:numPr>
        <w:spacing w:after="80"/>
      </w:pPr>
      <w:r>
        <w:rPr>
          <w:b/>
          <w:bCs/>
        </w:rPr>
        <w:t xml:space="preserve">Calendar/SOP Agent, </w:t>
      </w:r>
      <w:r>
        <w:t xml:space="preserve">proposes cadence and the repurposing map (one flagship piece, several derivatives) rather than treating every post as new work.</w:t>
      </w:r>
    </w:p>
    <w:p>
      <w:pPr>
        <w:spacing w:after="160"/>
      </w:pPr>
      <w:r>
        <w:t xml:space="preserve">This is also the moat, in the sense that it exists at all. A generic AI tool doesn't know an FAQ block needs 3–6 real Q&amp;A pairs to move the needle on AI-engine citation, or that 13 content pillars is a symptom of an unfocused team. That judgment is written down. Software just needs to execute it consistently.</w:t>
      </w:r>
    </w:p>
    <w:p>
      <w:pPr>
        <w:pStyle w:val="Heading1"/>
        <w:spacing w:after="160" w:before="320"/>
      </w:pPr>
      <w:r>
        <w:t xml:space="preserve">8. Suggested build sequence for a 3-person team (~12 weeks to a working Phase 1)</w:t>
      </w:r>
    </w:p>
    <w:p>
      <w:pPr>
        <w:spacing w:after="160"/>
      </w:pPr>
      <w:r>
        <w:t xml:space="preserve">Not a promise, a starting split so three people aren't stepping on each other:</w:t>
      </w:r>
    </w:p>
    <w:p>
      <w:pPr>
        <w:pStyle w:val="ListParagraph"/>
        <w:numPr>
          <w:ilvl w:val="0"/>
          <w:numId w:val="2"/>
        </w:numPr>
        <w:spacing w:after="80"/>
      </w:pPr>
      <w:r>
        <w:rPr>
          <w:b/>
          <w:bCs/>
        </w:rPr>
        <w:t xml:space="preserve">Weeks 1–4, walking skeleton: </w:t>
      </w:r>
      <w:r>
        <w:t xml:space="preserve">org signup, intake flow, website crawl, SEO/GEO audit report with a scored dashboard. This alone is demoable and is the first thing to show a design-partner NGO. One dev owns the core app/auth/dashboard, one owns the crawler + audit-scoring logic, one starts on the Google Ads OAuth integration in parallel since it has the longest lead time (API access approval, quota setup).</w:t>
      </w:r>
    </w:p>
    <w:p>
      <w:pPr>
        <w:pStyle w:val="ListParagraph"/>
        <w:numPr>
          <w:ilvl w:val="0"/>
          <w:numId w:val="2"/>
        </w:numPr>
        <w:spacing w:after="80"/>
      </w:pPr>
      <w:r>
        <w:rPr>
          <w:b/>
          <w:bCs/>
        </w:rPr>
        <w:t xml:space="preserve">Weeks 4–8: </w:t>
      </w:r>
      <w:r>
        <w:t xml:space="preserve">Ad Grants diagnostic goes live (read-only first, show the reclaimable-dollar number, don't attempt live campaign changes yet, that's a trust step to earn), content/calendar agent produces a first draft calendar and 1–2 blog posts per org, human-approval flow ships.</w:t>
      </w:r>
    </w:p>
    <w:p>
      <w:pPr>
        <w:pStyle w:val="ListParagraph"/>
        <w:numPr>
          <w:ilvl w:val="0"/>
          <w:numId w:val="2"/>
        </w:numPr>
        <w:spacing w:after="80"/>
      </w:pPr>
      <w:r>
        <w:rPr>
          <w:b/>
          <w:bCs/>
        </w:rPr>
        <w:t xml:space="preserve">Weeks 8–12: </w:t>
      </w:r>
      <w:r>
        <w:t xml:space="preserve">billing and seats (direct Stripe subscription + sponsor-seat allocation), weekly digest/reporting dashboard, and, only if time allows, semi-automated (still human-approved) Ad Grants campaign fixes rather than just diagnostics.</w:t>
      </w:r>
    </w:p>
    <w:p>
      <w:pPr>
        <w:spacing w:after="160"/>
      </w:pPr>
      <w:r>
        <w:rPr>
          <w:b/>
          <w:bCs/>
        </w:rPr>
        <w:t xml:space="preserve">Explicitly not in the 12-week window: </w:t>
      </w:r>
      <w:r>
        <w:t xml:space="preserve">social scheduling integration, Canva integration, pitch decks, video scripts, landing pages, anything for social enterprises, anything for funder/investor matching.</w:t>
      </w:r>
    </w:p>
    <w:p>
      <w:pPr>
        <w:pStyle w:val="Heading1"/>
        <w:spacing w:after="160" w:before="320"/>
      </w:pPr>
      <w:r>
        <w:t xml:space="preserve">9. What “done” looks like for Phase 1</w:t>
      </w:r>
    </w:p>
    <w:p>
      <w:pPr>
        <w:spacing w:after="160"/>
      </w:pPr>
      <w:r>
        <w:t xml:space="preserve">Pick a small number of design-partner NGOs (5–10) and don't call Phase 1 done until you can show, per org: a before/after SEO/GEO score, a real reclaimed-Ad-Grant-dollar figure, and at least a handful of shipped, approved content pieces. That's the case-study package that makes both the direct-sale pitch and the sponsor/CSR pitch real instead of theoretical, and it's what earns the right to build Phase 2.</w:t>
      </w:r>
    </w:p>
    <w:p>
      <w:pPr>
        <w:pStyle w:val="Heading1"/>
        <w:spacing w:after="160" w:before="320"/>
      </w:pPr>
      <w:r>
        <w:t xml:space="preserve">10. Open decisions still needed before the team can fully commit</w:t>
      </w:r>
    </w:p>
    <w:p>
      <w:pPr>
        <w:pStyle w:val="ListParagraph"/>
        <w:numPr>
          <w:ilvl w:val="0"/>
          <w:numId w:val="2"/>
        </w:numPr>
        <w:spacing w:after="80"/>
      </w:pPr>
      <w:r>
        <w:t xml:space="preserve">Final pricing for the direct-pay tier (₹8,000–₹20,000/mo is a starting range to validate against real design-partner NGOs, no direct India Ad-Grant-specific benchmark exists, don't anchor on the US agency comps).</w:t>
      </w:r>
    </w:p>
    <w:p>
      <w:pPr>
        <w:pStyle w:val="ListParagraph"/>
        <w:numPr>
          <w:ilvl w:val="0"/>
          <w:numId w:val="2"/>
        </w:numPr>
        <w:spacing w:after="80"/>
      </w:pPr>
      <w:r>
        <w:t xml:space="preserve">Sponsor-seat pricing and minimum commitment (per-seat monthly, or a flat cohort package, e.g. “fund 25 seats for a year”).</w:t>
      </w:r>
    </w:p>
    <w:p>
      <w:pPr>
        <w:pStyle w:val="ListParagraph"/>
        <w:numPr>
          <w:ilvl w:val="0"/>
          <w:numId w:val="2"/>
        </w:numPr>
        <w:spacing w:after="80"/>
      </w:pPr>
      <w:r>
        <w:t xml:space="preserve">Legal sign-off on the Section 135 structuring: the working assumption is the corporate directly procures SEctOr as a vendor for its own CSR activity (no CSR-1 needed on either side), get a CS/CSR-compliance lawyer to confirm this holds, especially the related-party/self-benefit angle, before it's wired into billing.</w:t>
      </w:r>
    </w:p>
    <w:p>
      <w:pPr>
        <w:pStyle w:val="ListParagraph"/>
        <w:numPr>
          <w:ilvl w:val="0"/>
          <w:numId w:val="2"/>
        </w:numPr>
        <w:spacing w:after="80"/>
      </w:pPr>
      <w:r>
        <w:t xml:space="preserve">Confirm the FCRA/12A/80G documentation flow for NGOs pursuing Ad Grants eligibility, and how SEctOr supports the Goodstack verification submission without owning it.</w:t>
      </w:r>
    </w:p>
    <w:p>
      <w:pPr>
        <w:pStyle w:val="ListParagraph"/>
        <w:numPr>
          <w:ilvl w:val="0"/>
          <w:numId w:val="2"/>
        </w:numPr>
        <w:spacing w:after="80"/>
      </w:pPr>
      <w:r>
        <w:t xml:space="preserve">GST registration for the company and a GST-inclusive vs. exclusive pricing decision.</w:t>
      </w:r>
    </w:p>
    <w:p>
      <w:pPr>
        <w:pStyle w:val="ListParagraph"/>
        <w:numPr>
          <w:ilvl w:val="0"/>
          <w:numId w:val="2"/>
        </w:numPr>
        <w:spacing w:after="80"/>
      </w:pPr>
      <w:r>
        <w:t xml:space="preserve">Which 5–10 NGOs become design partners, ideally already holding 12A/80G, with at least one or two holding FCRA registration so the Ad Grants flow can be tested end to end.</w:t>
      </w:r>
    </w:p>
    <w:p>
      <w:pPr>
        <w:pStyle w:val="ListParagraph"/>
        <w:numPr>
          <w:ilvl w:val="0"/>
          <w:numId w:val="2"/>
        </w:numPr>
        <w:spacing w:after="80"/>
      </w:pPr>
      <w:r>
        <w:t xml:space="preserve">A proper look at NGOBox/CSRBOX, the closest adjacent player found in India (CSR-NGO matching plus a paid NGO advertising toolkit), competitor or potential distribution partner, worth a real conversation either way.</w:t>
      </w:r>
    </w:p>
    <w:p>
      <w:pPr>
        <w:pStyle w:val="ListParagraph"/>
        <w:numPr>
          <w:ilvl w:val="0"/>
          <w:numId w:val="2"/>
        </w:numPr>
        <w:spacing w:after="80"/>
      </w:pPr>
      <w:r>
        <w:t xml:space="preserve">Whether “SEctOr” is the final name or a working name, worth a quick trademark/domain check before it's on a pitch deck or signup page.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A2E" w:sz="6" w:space="4"/>
      </w:pBdr>
      <w:spacing w:after="160" w:before="320"/>
    </w:pPr>
    <w:rPr>
      <w:rFonts w:ascii="Calibri" w:cs="Calibri" w:eastAsia="Calibri" w:hAnsi="Calibri"/>
      <w:b/>
      <w:bCs/>
      <w:color w:val="1F2A44"/>
      <w:sz w:val="30"/>
      <w:szCs w:val="30"/>
    </w:rPr>
  </w:style>
  <w:style w:type="paragraph" w:styleId="Heading2">
    <w:name w:val="Heading 2"/>
    <w:basedOn w:val="Normal"/>
    <w:next w:val="Normal"/>
    <w:qFormat/>
    <w:pPr>
      <w:spacing w:after="120" w:before="280"/>
    </w:pPr>
    <w:rPr>
      <w:rFonts w:ascii="Calibri" w:cs="Calibri" w:eastAsia="Calibri" w:hAnsi="Calibri"/>
      <w:b/>
      <w:bCs/>
      <w:color w:val="1F2A44"/>
      <w:sz w:val="24"/>
      <w:szCs w:val="24"/>
    </w:rPr>
  </w:style>
  <w:style w:type="paragraph" w:styleId="Title">
    <w:name w:val="Title"/>
    <w:basedOn w:val="Normal"/>
    <w:next w:val="Normal"/>
    <w:qFormat/>
    <w:pPr>
      <w:spacing w:after="80"/>
    </w:pPr>
    <w:rPr>
      <w:rFonts w:ascii="Calibri" w:cs="Calibri" w:eastAsia="Calibri" w:hAnsi="Calibri"/>
      <w:b/>
      <w:bCs/>
      <w:color w:val="1F2A4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2026-08-22T08:49:19.333Z</dcterms:created>
  <dcterms:modified xsi:type="dcterms:W3CDTF">2026-08-22T08:49:19.353Z</dcterms:modified>
</cp:coreProperties>
</file>

<file path=docProps/custom.xml><?xml version="1.0" encoding="utf-8"?>
<Properties xmlns="http://schemas.openxmlformats.org/officeDocument/2006/custom-properties" xmlns:vt="http://schemas.openxmlformats.org/officeDocument/2006/docPropsVTypes"/>
</file>