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Calibri" w:cs="Calibri" w:eastAsia="Calibri" w:hAnsi="Calibri"/>
          <w:b/>
          <w:bCs/>
          <w:color w:val="1A3C6E"/>
          <w:sz w:val="56"/>
          <w:szCs w:val="56"/>
        </w:rPr>
        <w:t xml:space="preserve">Handshake AI</w:t>
      </w:r>
    </w:p>
    <w:p>
      <w:pPr>
        <w:spacing w:after="100"/>
        <w:jc w:val="center"/>
      </w:pPr>
      <w:r>
        <w:rPr>
          <w:rFonts w:ascii="Calibri" w:cs="Calibri" w:eastAsia="Calibri" w:hAnsi="Calibri"/>
          <w:color w:val="2D2D2D"/>
          <w:sz w:val="28"/>
          <w:szCs w:val="28"/>
        </w:rPr>
        <w:t xml:space="preserve">Autonomous B2B Wholesale Negotiation Platform</w:t>
      </w:r>
    </w:p>
    <w:p>
      <w:pPr>
        <w:spacing w:after="400"/>
        <w:jc w:val="center"/>
      </w:pPr>
      <w:r>
        <w:rPr>
          <w:rFonts w:ascii="Calibri" w:cs="Calibri" w:eastAsia="Calibri" w:hAnsi="Calibri"/>
          <w:color w:val="666666"/>
          <w:sz w:val="24"/>
          <w:szCs w:val="24"/>
        </w:rPr>
        <w:t xml:space="preserve">Technical Documentation, Architecture Reference &amp; Evaluation Guide</w:t>
      </w:r>
    </w:p>
    <w:p>
      <w:pPr>
        <w:spacing w:after="20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c>
          <w:tcPr>
            <w:tcW w:type="dxa" w:w="3000"/>
            <w:shd w:fill="1A3C6E" w:val="clear"/>
            <w:tcMar>
              <w:top w:type="dxa" w:w="40"/>
              <w:left w:type="dxa" w:w="80"/>
              <w:bottom w:type="dxa" w:w="40"/>
              <w:right w:type="dxa" w:w="80"/>
            </w:tcMar>
          </w:tcPr>
          <w:p>
            <w:r>
              <w:rPr>
                <w:rFonts w:ascii="Calibri" w:cs="Calibri" w:eastAsia="Calibri" w:hAnsi="Calibri"/>
                <w:b/>
                <w:bCs/>
                <w:color w:val="FFFFFF"/>
                <w:sz w:val="20"/>
                <w:szCs w:val="20"/>
              </w:rPr>
              <w:t xml:space="preserve">Field</w:t>
            </w:r>
          </w:p>
        </w:tc>
        <w:tc>
          <w:tcPr>
            <w:tcW w:type="dxa" w:w="6600"/>
            <w:shd w:fill="1A3C6E" w:val="clear"/>
            <w:tcMar>
              <w:top w:type="dxa" w:w="40"/>
              <w:left w:type="dxa" w:w="80"/>
              <w:bottom w:type="dxa" w:w="40"/>
              <w:right w:type="dxa" w:w="80"/>
            </w:tcMar>
          </w:tcPr>
          <w:p>
            <w:r>
              <w:rPr>
                <w:rFonts w:ascii="Calibri" w:cs="Calibri" w:eastAsia="Calibri" w:hAnsi="Calibri"/>
                <w:b/>
                <w:bCs/>
                <w:color w:val="FFFFFF"/>
                <w:sz w:val="20"/>
                <w:szCs w:val="20"/>
              </w:rPr>
              <w:t xml:space="preserve">Detail</w:t>
            </w:r>
          </w:p>
        </w:tc>
      </w:tr>
      <w:tr>
        <w:tc>
          <w:tcPr>
            <w:tcW w:type="dxa" w:w="3000"/>
            <w:tcMar>
              <w:top w:type="dxa" w:w="40"/>
              <w:left w:type="dxa" w:w="80"/>
              <w:bottom w:type="dxa" w:w="40"/>
              <w:right w:type="dxa" w:w="80"/>
            </w:tcMar>
          </w:tcPr>
          <w:p>
            <w:r>
              <w:rPr>
                <w:rFonts w:ascii="Calibri" w:cs="Calibri" w:eastAsia="Calibri" w:hAnsi="Calibri"/>
                <w:b w:val="false"/>
                <w:bCs w:val="false"/>
                <w:color w:val="2D2D2D"/>
                <w:sz w:val="20"/>
                <w:szCs w:val="20"/>
              </w:rPr>
              <w:t xml:space="preserve">Platform</w:t>
            </w:r>
          </w:p>
        </w:tc>
        <w:tc>
          <w:tcPr>
            <w:tcW w:type="dxa" w:w="6600"/>
            <w:tcMar>
              <w:top w:type="dxa" w:w="40"/>
              <w:left w:type="dxa" w:w="80"/>
              <w:bottom w:type="dxa" w:w="40"/>
              <w:right w:type="dxa" w:w="80"/>
            </w:tcMar>
          </w:tcPr>
          <w:p>
            <w:r>
              <w:rPr>
                <w:rFonts w:ascii="Calibri" w:cs="Calibri" w:eastAsia="Calibri" w:hAnsi="Calibri"/>
                <w:b w:val="false"/>
                <w:bCs w:val="false"/>
                <w:color w:val="2D2D2D"/>
                <w:sz w:val="20"/>
                <w:szCs w:val="20"/>
              </w:rPr>
              <w:t xml:space="preserve">FastAPI + Groq LLM + Instructor + Supabase PostgreSQL + Razorpay</w:t>
            </w:r>
          </w:p>
        </w:tc>
      </w:tr>
      <w:tr>
        <w:tc>
          <w:tcPr>
            <w:tcW w:type="dxa" w:w="3000"/>
            <w:tcMar>
              <w:top w:type="dxa" w:w="40"/>
              <w:left w:type="dxa" w:w="80"/>
              <w:bottom w:type="dxa" w:w="40"/>
              <w:right w:type="dxa" w:w="80"/>
            </w:tcMar>
          </w:tcPr>
          <w:p>
            <w:r>
              <w:rPr>
                <w:rFonts w:ascii="Calibri" w:cs="Calibri" w:eastAsia="Calibri" w:hAnsi="Calibri"/>
                <w:b w:val="false"/>
                <w:bCs w:val="false"/>
                <w:color w:val="2D2D2D"/>
                <w:sz w:val="20"/>
                <w:szCs w:val="20"/>
              </w:rPr>
              <w:t xml:space="preserve">Version</w:t>
            </w:r>
          </w:p>
        </w:tc>
        <w:tc>
          <w:tcPr>
            <w:tcW w:type="dxa" w:w="6600"/>
            <w:tcMar>
              <w:top w:type="dxa" w:w="40"/>
              <w:left w:type="dxa" w:w="80"/>
              <w:bottom w:type="dxa" w:w="40"/>
              <w:right w:type="dxa" w:w="80"/>
            </w:tcMar>
          </w:tcPr>
          <w:p>
            <w:r>
              <w:rPr>
                <w:rFonts w:ascii="Calibri" w:cs="Calibri" w:eastAsia="Calibri" w:hAnsi="Calibri"/>
                <w:b w:val="false"/>
                <w:bCs w:val="false"/>
                <w:color w:val="2D2D2D"/>
                <w:sz w:val="20"/>
                <w:szCs w:val="20"/>
              </w:rPr>
              <w:t xml:space="preserve">1.0.0</w:t>
            </w:r>
          </w:p>
        </w:tc>
      </w:tr>
      <w:tr>
        <w:tc>
          <w:tcPr>
            <w:tcW w:type="dxa" w:w="3000"/>
            <w:tcMar>
              <w:top w:type="dxa" w:w="40"/>
              <w:left w:type="dxa" w:w="80"/>
              <w:bottom w:type="dxa" w:w="40"/>
              <w:right w:type="dxa" w:w="80"/>
            </w:tcMar>
          </w:tcPr>
          <w:p>
            <w:r>
              <w:rPr>
                <w:rFonts w:ascii="Calibri" w:cs="Calibri" w:eastAsia="Calibri" w:hAnsi="Calibri"/>
                <w:b w:val="false"/>
                <w:bCs w:val="false"/>
                <w:color w:val="2D2D2D"/>
                <w:sz w:val="20"/>
                <w:szCs w:val="20"/>
              </w:rPr>
              <w:t xml:space="preserve">Author</w:t>
            </w:r>
          </w:p>
        </w:tc>
        <w:tc>
          <w:tcPr>
            <w:tcW w:type="dxa" w:w="6600"/>
            <w:tcMar>
              <w:top w:type="dxa" w:w="40"/>
              <w:left w:type="dxa" w:w="80"/>
              <w:bottom w:type="dxa" w:w="40"/>
              <w:right w:type="dxa" w:w="80"/>
            </w:tcMar>
          </w:tcPr>
          <w:p>
            <w:r>
              <w:rPr>
                <w:rFonts w:ascii="Calibri" w:cs="Calibri" w:eastAsia="Calibri" w:hAnsi="Calibri"/>
                <w:b w:val="false"/>
                <w:bCs w:val="false"/>
                <w:color w:val="2D2D2D"/>
                <w:sz w:val="20"/>
                <w:szCs w:val="20"/>
              </w:rPr>
              <w:t xml:space="preserve">Sri Kritarth &amp; Team Handshake AI</w:t>
            </w:r>
          </w:p>
        </w:tc>
      </w:tr>
      <w:tr>
        <w:tc>
          <w:tcPr>
            <w:tcW w:type="dxa" w:w="3000"/>
            <w:tcMar>
              <w:top w:type="dxa" w:w="40"/>
              <w:left w:type="dxa" w:w="80"/>
              <w:bottom w:type="dxa" w:w="40"/>
              <w:right w:type="dxa" w:w="80"/>
            </w:tcMar>
          </w:tcPr>
          <w:p>
            <w:r>
              <w:rPr>
                <w:rFonts w:ascii="Calibri" w:cs="Calibri" w:eastAsia="Calibri" w:hAnsi="Calibri"/>
                <w:b w:val="false"/>
                <w:bCs w:val="false"/>
                <w:color w:val="2D2D2D"/>
                <w:sz w:val="20"/>
                <w:szCs w:val="20"/>
              </w:rPr>
              <w:t xml:space="preserve">Repository</w:t>
            </w:r>
          </w:p>
        </w:tc>
        <w:tc>
          <w:tcPr>
            <w:tcW w:type="dxa" w:w="6600"/>
            <w:tcMar>
              <w:top w:type="dxa" w:w="40"/>
              <w:left w:type="dxa" w:w="80"/>
              <w:bottom w:type="dxa" w:w="40"/>
              <w:right w:type="dxa" w:w="80"/>
            </w:tcMar>
          </w:tcPr>
          <w:p>
            <w:r>
              <w:rPr>
                <w:rFonts w:ascii="Calibri" w:cs="Calibri" w:eastAsia="Calibri" w:hAnsi="Calibri"/>
                <w:b w:val="false"/>
                <w:bCs w:val="false"/>
                <w:color w:val="2D2D2D"/>
                <w:sz w:val="20"/>
                <w:szCs w:val="20"/>
              </w:rPr>
              <w:t xml:space="preserve">github.com/sriKritarth/Handshake-AI</w:t>
            </w:r>
          </w:p>
        </w:tc>
      </w:tr>
      <w:tr>
        <w:tc>
          <w:tcPr>
            <w:tcW w:type="dxa" w:w="3000"/>
            <w:tcMar>
              <w:top w:type="dxa" w:w="40"/>
              <w:left w:type="dxa" w:w="80"/>
              <w:bottom w:type="dxa" w:w="40"/>
              <w:right w:type="dxa" w:w="80"/>
            </w:tcMar>
          </w:tcPr>
          <w:p>
            <w:r>
              <w:rPr>
                <w:rFonts w:ascii="Calibri" w:cs="Calibri" w:eastAsia="Calibri" w:hAnsi="Calibri"/>
                <w:b w:val="false"/>
                <w:bCs w:val="false"/>
                <w:color w:val="2D2D2D"/>
                <w:sz w:val="20"/>
                <w:szCs w:val="20"/>
              </w:rPr>
              <w:t xml:space="preserve">License</w:t>
            </w:r>
          </w:p>
        </w:tc>
        <w:tc>
          <w:tcPr>
            <w:tcW w:type="dxa" w:w="6600"/>
            <w:tcMar>
              <w:top w:type="dxa" w:w="40"/>
              <w:left w:type="dxa" w:w="80"/>
              <w:bottom w:type="dxa" w:w="40"/>
              <w:right w:type="dxa" w:w="80"/>
            </w:tcMar>
          </w:tcPr>
          <w:p>
            <w:r>
              <w:rPr>
                <w:rFonts w:ascii="Calibri" w:cs="Calibri" w:eastAsia="Calibri" w:hAnsi="Calibri"/>
                <w:b w:val="false"/>
                <w:bCs w:val="false"/>
                <w:color w:val="2D2D2D"/>
                <w:sz w:val="20"/>
                <w:szCs w:val="20"/>
              </w:rPr>
              <w:t xml:space="preserve">MIT</w:t>
            </w:r>
          </w:p>
        </w:tc>
      </w:tr>
    </w:tbl>
    <w:p>
      <w:r>
        <w:br w:type="page"/>
      </w:r>
    </w:p>
    <w:p>
      <w:pPr>
        <w:pStyle w:val="Heading1"/>
        <w:spacing w:after="150" w:before="300"/>
      </w:pPr>
      <w:r>
        <w:rPr>
          <w:rFonts w:ascii="Calibri" w:cs="Calibri" w:eastAsia="Calibri" w:hAnsi="Calibri"/>
          <w:b/>
          <w:bCs/>
          <w:color w:val="1A3C6E"/>
        </w:rPr>
        <w:t xml:space="preserve">1. Executive Summary</w:t>
      </w:r>
    </w:p>
    <w:p>
      <w:pPr>
        <w:spacing w:after="120" w:line="276"/>
      </w:pPr>
      <w:r>
        <w:rPr>
          <w:rFonts w:ascii="Calibri" w:cs="Calibri" w:eastAsia="Calibri" w:hAnsi="Calibri"/>
          <w:color w:val="2D2D2D"/>
          <w:sz w:val="22"/>
          <w:szCs w:val="22"/>
        </w:rPr>
        <w:t xml:space="preserve">Traditional B2B wholesale procurement suffers from high friction: static catalog prices deter high-volume buyers, manual discount approval chains create multi-day delays, and unconstrained LLM negotiation bots hallucinate below-cost rates while leaking sensitive inventory data.</w:t>
      </w:r>
    </w:p>
    <w:p>
      <w:pPr>
        <w:spacing w:after="120" w:line="276"/>
      </w:pPr>
      <w:r>
        <w:rPr>
          <w:rFonts w:ascii="Calibri" w:cs="Calibri" w:eastAsia="Calibri" w:hAnsi="Calibri"/>
          <w:color w:val="2D2D2D"/>
          <w:sz w:val="22"/>
          <w:szCs w:val="22"/>
        </w:rPr>
        <w:t xml:space="preserve">Handshake AI resolves these challenges through an autonomous pair-negotiation architecture where an AI seller agent and an AI buyer agent negotiate price, quantity, and terms within mathematically enforced guardrails, terminating every successful deal in a real Razorpay payment link.</w:t>
      </w:r>
    </w:p>
    <w:p>
      <w:pPr>
        <w:spacing w:after="120" w:line="276"/>
      </w:pPr>
      <w:r>
        <w:rPr>
          <w:rFonts w:ascii="Calibri" w:cs="Calibri" w:eastAsia="Calibri" w:hAnsi="Calibri"/>
          <w:color w:val="2D2D2D"/>
          <w:sz w:val="22"/>
          <w:szCs w:val="22"/>
        </w:rPr>
        <w:t xml:space="preserve">The platform delivers five core capabilities:</w:t>
      </w:r>
    </w:p>
    <w:p>
      <w:pPr>
        <w:spacing w:after="80" w:line="276"/>
        <w:ind w:left="360"/>
      </w:pPr>
      <w:r>
        <w:rPr>
          <w:rFonts w:ascii="Calibri" w:cs="Calibri" w:eastAsia="Calibri" w:hAnsi="Calibri"/>
          <w:color w:val="2D2D2D"/>
          <w:sz w:val="22"/>
          <w:szCs w:val="22"/>
        </w:rPr>
        <w:t xml:space="preserve">•  Autonomous margin protection via a 6-rule pre-LLM and post-LLM guardrail waterfall</w:t>
      </w:r>
    </w:p>
    <w:p>
      <w:pPr>
        <w:spacing w:after="80" w:line="276"/>
        <w:ind w:left="360"/>
      </w:pPr>
      <w:r>
        <w:rPr>
          <w:rFonts w:ascii="Calibri" w:cs="Calibri" w:eastAsia="Calibri" w:hAnsi="Calibri"/>
          <w:color w:val="2D2D2D"/>
          <w:sz w:val="22"/>
          <w:szCs w:val="22"/>
        </w:rPr>
        <w:t xml:space="preserve">•  Strict information asymmetry preventing warehouse inventory leakage to buyers</w:t>
      </w:r>
    </w:p>
    <w:p>
      <w:pPr>
        <w:spacing w:after="80" w:line="276"/>
        <w:ind w:left="360"/>
      </w:pPr>
      <w:r>
        <w:rPr>
          <w:rFonts w:ascii="Calibri" w:cs="Calibri" w:eastAsia="Calibri" w:hAnsi="Calibri"/>
          <w:color w:val="2D2D2D"/>
          <w:sz w:val="22"/>
          <w:szCs w:val="22"/>
        </w:rPr>
        <w:t xml:space="preserve">•  Multi-objective buyer agent enforcing both unit price and total spend outlay constraints</w:t>
      </w:r>
    </w:p>
    <w:p>
      <w:pPr>
        <w:spacing w:after="80" w:line="276"/>
        <w:ind w:left="360"/>
      </w:pPr>
      <w:r>
        <w:rPr>
          <w:rFonts w:ascii="Calibri" w:cs="Calibri" w:eastAsia="Calibri" w:hAnsi="Calibri"/>
          <w:color w:val="2D2D2D"/>
          <w:sz w:val="22"/>
          <w:szCs w:val="22"/>
        </w:rPr>
        <w:t xml:space="preserve">•  Cryptographic SHA-256 hash-chained audit trail with per-entry verification</w:t>
      </w:r>
    </w:p>
    <w:p>
      <w:pPr>
        <w:spacing w:after="80" w:line="276"/>
        <w:ind w:left="360"/>
      </w:pPr>
      <w:r>
        <w:rPr>
          <w:rFonts w:ascii="Calibri" w:cs="Calibri" w:eastAsia="Calibri" w:hAnsi="Calibri"/>
          <w:color w:val="2D2D2D"/>
          <w:sz w:val="22"/>
          <w:szCs w:val="22"/>
        </w:rPr>
        <w:t xml:space="preserve">•  Instant Razorpay Standard Checkout settlement upon deal agreement</w:t>
      </w:r>
    </w:p>
    <w:p>
      <w:pPr>
        <w:pStyle w:val="Heading1"/>
        <w:spacing w:after="150" w:before="300"/>
      </w:pPr>
      <w:r>
        <w:rPr>
          <w:rFonts w:ascii="Calibri" w:cs="Calibri" w:eastAsia="Calibri" w:hAnsi="Calibri"/>
          <w:b/>
          <w:bCs/>
          <w:color w:val="1A3C6E"/>
        </w:rPr>
        <w:t xml:space="preserve">2. System Architecture</w:t>
      </w:r>
    </w:p>
    <w:p>
      <w:pPr>
        <w:spacing w:after="120" w:line="276"/>
      </w:pPr>
      <w:r>
        <w:rPr>
          <w:rFonts w:ascii="Calibri" w:cs="Calibri" w:eastAsia="Calibri" w:hAnsi="Calibri"/>
          <w:color w:val="2D2D2D"/>
          <w:sz w:val="22"/>
          <w:szCs w:val="22"/>
        </w:rPr>
        <w:t xml:space="preserve">The platform is organized into four layers, each with clear responsibilities and strict separation of concerns.</w:t>
      </w:r>
    </w:p>
    <w:p>
      <w:pPr>
        <w:pStyle w:val="Heading2"/>
        <w:spacing w:after="150" w:before="300"/>
      </w:pPr>
      <w:r>
        <w:rPr>
          <w:rFonts w:ascii="Calibri" w:cs="Calibri" w:eastAsia="Calibri" w:hAnsi="Calibri"/>
          <w:b/>
          <w:bCs/>
          <w:color w:val="1A3C6E"/>
        </w:rPr>
        <w:t xml:space="preserve">2.1 User Interface Layer</w:t>
      </w:r>
    </w:p>
    <w:p>
      <w:pPr>
        <w:spacing w:after="120" w:line="276"/>
      </w:pPr>
      <w:r>
        <w:rPr>
          <w:rFonts w:ascii="Calibri" w:cs="Calibri" w:eastAsia="Calibri" w:hAnsi="Calibri"/>
          <w:color w:val="2D2D2D"/>
          <w:sz w:val="22"/>
          <w:szCs w:val="22"/>
        </w:rPr>
        <w:t xml:space="preserve">The Streamlit dashboard (app.py) provides four operating modes: Human-to-Agent (H2A) live negotiation, Autonomous Agent-to-Agent (A2A) simulation, Merchant Review Desk for executive approval workflows, and Audit Replay with hash-chain verification. The Razorpay checkout page (checkout.html) renders the settlement interface with exact negotiated amounts in paise.</w:t>
      </w:r>
    </w:p>
    <w:p>
      <w:pPr>
        <w:pStyle w:val="Heading2"/>
        <w:spacing w:after="150" w:before="300"/>
      </w:pPr>
      <w:r>
        <w:rPr>
          <w:rFonts w:ascii="Calibri" w:cs="Calibri" w:eastAsia="Calibri" w:hAnsi="Calibri"/>
          <w:b/>
          <w:bCs/>
          <w:color w:val="1A3C6E"/>
        </w:rPr>
        <w:t xml:space="preserve">2.2 API Layer</w:t>
      </w:r>
    </w:p>
    <w:p>
      <w:pPr>
        <w:spacing w:after="120" w:line="276"/>
      </w:pPr>
      <w:r>
        <w:rPr>
          <w:rFonts w:ascii="Calibri" w:cs="Calibri" w:eastAsia="Calibri" w:hAnsi="Calibri"/>
          <w:color w:val="2D2D2D"/>
          <w:sz w:val="22"/>
          <w:szCs w:val="22"/>
        </w:rPr>
        <w:t xml:space="preserve">The FastAPI backend (backend/main.py) exposes 11 RESTful endpoints with role-based access control via X-API-Key headers and scope enforcement. Rate limiting is applied via slowapi to prevent buyer agents from hammering negotiation rounds. Interactive Swagger documentation is auto-generated at /docs.</w:t>
      </w:r>
    </w:p>
    <w:p>
      <w:pPr>
        <w:pStyle w:val="Heading2"/>
        <w:spacing w:after="150" w:before="300"/>
      </w:pPr>
      <w:r>
        <w:rPr>
          <w:rFonts w:ascii="Calibri" w:cs="Calibri" w:eastAsia="Calibri" w:hAnsi="Calibri"/>
          <w:b/>
          <w:bCs/>
          <w:color w:val="1A3C6E"/>
        </w:rPr>
        <w:t xml:space="preserve">2.3 Domain Orchestration Layer</w:t>
      </w:r>
    </w:p>
    <w:p>
      <w:pPr>
        <w:spacing w:after="120" w:line="276"/>
      </w:pPr>
      <w:r>
        <w:rPr>
          <w:rFonts w:ascii="Calibri" w:cs="Calibri" w:eastAsia="Calibri" w:hAnsi="Calibri"/>
          <w:color w:val="2D2D2D"/>
          <w:sz w:val="22"/>
          <w:szCs w:val="22"/>
        </w:rPr>
        <w:t xml:space="preserve">The NegotiationSessionService (service.py) orchestrates the full lifecycle: loading sessions from Supabase, running the 7-state FSM, calling the pre-LLM guardrail waterfall, invoking the Groq LLM via Instructor for structured counter-offers, applying post-LLM clamping, recording offer events, writing hash-chained audit entries, and triggering Razorpay payment link generation on deal closure.</w:t>
      </w:r>
    </w:p>
    <w:p>
      <w:pPr>
        <w:pStyle w:val="Heading2"/>
        <w:spacing w:after="150" w:before="300"/>
      </w:pPr>
      <w:r>
        <w:rPr>
          <w:rFonts w:ascii="Calibri" w:cs="Calibri" w:eastAsia="Calibri" w:hAnsi="Calibri"/>
          <w:b/>
          <w:bCs/>
          <w:color w:val="1A3C6E"/>
        </w:rPr>
        <w:t xml:space="preserve">2.4 Persistence &amp; Settlement Layer</w:t>
      </w:r>
    </w:p>
    <w:p>
      <w:pPr>
        <w:spacing w:after="120" w:line="276"/>
      </w:pPr>
      <w:r>
        <w:rPr>
          <w:rFonts w:ascii="Calibri" w:cs="Calibri" w:eastAsia="Calibri" w:hAnsi="Calibri"/>
          <w:color w:val="2D2D2D"/>
          <w:sz w:val="22"/>
          <w:szCs w:val="22"/>
        </w:rPr>
        <w:t xml:space="preserve">Supabase PostgreSQL stores all session state, offer events, merchant approvals, audit logs, and Razorpay order records across six normalized tables. The Razorpay Standard Checkout gateway handles payment settlement with test-mode API keys.</w:t>
      </w:r>
    </w:p>
    <w:p>
      <w:pPr>
        <w:pStyle w:val="Heading2"/>
        <w:spacing w:after="150" w:before="300"/>
      </w:pPr>
      <w:r>
        <w:rPr>
          <w:rFonts w:ascii="Calibri" w:cs="Calibri" w:eastAsia="Calibri" w:hAnsi="Calibri"/>
          <w:b/>
          <w:bCs/>
          <w:color w:val="1A3C6E"/>
        </w:rPr>
        <w:t xml:space="preserve">2.5 API Endpoint Reference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2400"/>
        <w:gridCol w:w="3000"/>
      </w:tblGrid>
      <w:tr>
        <w:tc>
          <w:tcPr>
            <w:tcW w:type="dxa" w:w="1000"/>
            <w:shd w:fill="1A3C6E" w:val="clear"/>
            <w:tcMar>
              <w:top w:type="dxa" w:w="40"/>
              <w:left w:type="dxa" w:w="80"/>
              <w:bottom w:type="dxa" w:w="40"/>
              <w:right w:type="dxa" w:w="80"/>
            </w:tcMar>
          </w:tcPr>
          <w:p>
            <w:r>
              <w:rPr>
                <w:rFonts w:ascii="Calibri" w:cs="Calibri" w:eastAsia="Calibri" w:hAnsi="Calibri"/>
                <w:b/>
                <w:bCs/>
                <w:color w:val="FFFFFF"/>
                <w:sz w:val="20"/>
                <w:szCs w:val="20"/>
              </w:rPr>
              <w:t xml:space="preserve">Method</w:t>
            </w:r>
          </w:p>
        </w:tc>
        <w:tc>
          <w:tcPr>
            <w:tcW w:type="dxa" w:w="3200"/>
            <w:shd w:fill="1A3C6E" w:val="clear"/>
            <w:tcMar>
              <w:top w:type="dxa" w:w="40"/>
              <w:left w:type="dxa" w:w="80"/>
              <w:bottom w:type="dxa" w:w="40"/>
              <w:right w:type="dxa" w:w="80"/>
            </w:tcMar>
          </w:tcPr>
          <w:p>
            <w:r>
              <w:rPr>
                <w:rFonts w:ascii="Calibri" w:cs="Calibri" w:eastAsia="Calibri" w:hAnsi="Calibri"/>
                <w:b/>
                <w:bCs/>
                <w:color w:val="FFFFFF"/>
                <w:sz w:val="20"/>
                <w:szCs w:val="20"/>
              </w:rPr>
              <w:t xml:space="preserve">Endpoint</w:t>
            </w:r>
          </w:p>
        </w:tc>
        <w:tc>
          <w:tcPr>
            <w:tcW w:type="dxa" w:w="2400"/>
            <w:shd w:fill="1A3C6E" w:val="clear"/>
            <w:tcMar>
              <w:top w:type="dxa" w:w="40"/>
              <w:left w:type="dxa" w:w="80"/>
              <w:bottom w:type="dxa" w:w="40"/>
              <w:right w:type="dxa" w:w="80"/>
            </w:tcMar>
          </w:tcPr>
          <w:p>
            <w:r>
              <w:rPr>
                <w:rFonts w:ascii="Calibri" w:cs="Calibri" w:eastAsia="Calibri" w:hAnsi="Calibri"/>
                <w:b/>
                <w:bCs/>
                <w:color w:val="FFFFFF"/>
                <w:sz w:val="20"/>
                <w:szCs w:val="20"/>
              </w:rPr>
              <w:t xml:space="preserve">Scope</w:t>
            </w:r>
          </w:p>
        </w:tc>
        <w:tc>
          <w:tcPr>
            <w:tcW w:type="dxa" w:w="3000"/>
            <w:shd w:fill="1A3C6E" w:val="clear"/>
            <w:tcMar>
              <w:top w:type="dxa" w:w="40"/>
              <w:left w:type="dxa" w:w="80"/>
              <w:bottom w:type="dxa" w:w="40"/>
              <w:right w:type="dxa" w:w="80"/>
            </w:tcMar>
          </w:tcPr>
          <w:p>
            <w:r>
              <w:rPr>
                <w:rFonts w:ascii="Calibri" w:cs="Calibri" w:eastAsia="Calibri" w:hAnsi="Calibri"/>
                <w:b/>
                <w:bCs/>
                <w:color w:val="FFFFFF"/>
                <w:sz w:val="20"/>
                <w:szCs w:val="20"/>
              </w:rPr>
              <w:t xml:space="preserve">Description</w:t>
            </w:r>
          </w:p>
        </w:tc>
      </w:tr>
      <w:tr>
        <w:tc>
          <w:tcPr>
            <w:tcW w:type="dxa" w:w="1000"/>
            <w:tcMar>
              <w:top w:type="dxa" w:w="40"/>
              <w:left w:type="dxa" w:w="80"/>
              <w:bottom w:type="dxa" w:w="40"/>
              <w:right w:type="dxa" w:w="80"/>
            </w:tcMar>
          </w:tcPr>
          <w:p>
            <w:r>
              <w:rPr>
                <w:rFonts w:ascii="Calibri" w:cs="Calibri" w:eastAsia="Calibri" w:hAnsi="Calibri"/>
                <w:b w:val="false"/>
                <w:bCs w:val="false"/>
                <w:color w:val="2D2D2D"/>
                <w:sz w:val="20"/>
                <w:szCs w:val="20"/>
              </w:rPr>
              <w:t xml:space="preserve">POST</w:t>
            </w:r>
          </w:p>
        </w:tc>
        <w:tc>
          <w:tcPr>
            <w:tcW w:type="dxa" w:w="3200"/>
            <w:tcMar>
              <w:top w:type="dxa" w:w="40"/>
              <w:left w:type="dxa" w:w="80"/>
              <w:bottom w:type="dxa" w:w="40"/>
              <w:right w:type="dxa" w:w="80"/>
            </w:tcMar>
          </w:tcPr>
          <w:p>
            <w:r>
              <w:rPr>
                <w:rFonts w:ascii="Calibri" w:cs="Calibri" w:eastAsia="Calibri" w:hAnsi="Calibri"/>
                <w:b w:val="false"/>
                <w:bCs w:val="false"/>
                <w:color w:val="2D2D2D"/>
                <w:sz w:val="20"/>
                <w:szCs w:val="20"/>
              </w:rPr>
              <w:t xml:space="preserve">/api/v1/sessions</w:t>
            </w:r>
          </w:p>
        </w:tc>
        <w:tc>
          <w:tcPr>
            <w:tcW w:type="dxa" w:w="2400"/>
            <w:tcMar>
              <w:top w:type="dxa" w:w="40"/>
              <w:left w:type="dxa" w:w="80"/>
              <w:bottom w:type="dxa" w:w="40"/>
              <w:right w:type="dxa" w:w="80"/>
            </w:tcMar>
          </w:tcPr>
          <w:p>
            <w:r>
              <w:rPr>
                <w:rFonts w:ascii="Calibri" w:cs="Calibri" w:eastAsia="Calibri" w:hAnsi="Calibri"/>
                <w:b w:val="false"/>
                <w:bCs w:val="false"/>
                <w:color w:val="2D2D2D"/>
                <w:sz w:val="20"/>
                <w:szCs w:val="20"/>
              </w:rPr>
              <w:t xml:space="preserve">admin:create_session</w:t>
            </w:r>
          </w:p>
        </w:tc>
        <w:tc>
          <w:tcPr>
            <w:tcW w:type="dxa" w:w="3000"/>
            <w:tcMar>
              <w:top w:type="dxa" w:w="40"/>
              <w:left w:type="dxa" w:w="80"/>
              <w:bottom w:type="dxa" w:w="40"/>
              <w:right w:type="dxa" w:w="80"/>
            </w:tcMar>
          </w:tcPr>
          <w:p>
            <w:r>
              <w:rPr>
                <w:rFonts w:ascii="Calibri" w:cs="Calibri" w:eastAsia="Calibri" w:hAnsi="Calibri"/>
                <w:b w:val="false"/>
                <w:bCs w:val="false"/>
                <w:color w:val="2D2D2D"/>
                <w:sz w:val="20"/>
                <w:szCs w:val="20"/>
              </w:rPr>
              <w:t xml:space="preserve">Create a new negotiation session for a SKU and buyer</w:t>
            </w:r>
          </w:p>
        </w:tc>
      </w:tr>
      <w:tr>
        <w:tc>
          <w:tcPr>
            <w:tcW w:type="dxa" w:w="1000"/>
            <w:tcMar>
              <w:top w:type="dxa" w:w="40"/>
              <w:left w:type="dxa" w:w="80"/>
              <w:bottom w:type="dxa" w:w="40"/>
              <w:right w:type="dxa" w:w="80"/>
            </w:tcMar>
          </w:tcPr>
          <w:p>
            <w:r>
              <w:rPr>
                <w:rFonts w:ascii="Calibri" w:cs="Calibri" w:eastAsia="Calibri" w:hAnsi="Calibri"/>
                <w:b w:val="false"/>
                <w:bCs w:val="false"/>
                <w:color w:val="2D2D2D"/>
                <w:sz w:val="20"/>
                <w:szCs w:val="20"/>
              </w:rPr>
              <w:t xml:space="preserve">GET</w:t>
            </w:r>
          </w:p>
        </w:tc>
        <w:tc>
          <w:tcPr>
            <w:tcW w:type="dxa" w:w="3200"/>
            <w:tcMar>
              <w:top w:type="dxa" w:w="40"/>
              <w:left w:type="dxa" w:w="80"/>
              <w:bottom w:type="dxa" w:w="40"/>
              <w:right w:type="dxa" w:w="80"/>
            </w:tcMar>
          </w:tcPr>
          <w:p>
            <w:r>
              <w:rPr>
                <w:rFonts w:ascii="Calibri" w:cs="Calibri" w:eastAsia="Calibri" w:hAnsi="Calibri"/>
                <w:b w:val="false"/>
                <w:bCs w:val="false"/>
                <w:color w:val="2D2D2D"/>
                <w:sz w:val="20"/>
                <w:szCs w:val="20"/>
              </w:rPr>
              <w:t xml:space="preserve">/api/v1/sessions/{id}</w:t>
            </w:r>
          </w:p>
        </w:tc>
        <w:tc>
          <w:tcPr>
            <w:tcW w:type="dxa" w:w="2400"/>
            <w:tcMar>
              <w:top w:type="dxa" w:w="40"/>
              <w:left w:type="dxa" w:w="80"/>
              <w:bottom w:type="dxa" w:w="40"/>
              <w:right w:type="dxa" w:w="80"/>
            </w:tcMar>
          </w:tcPr>
          <w:p>
            <w:r>
              <w:rPr>
                <w:rFonts w:ascii="Calibri" w:cs="Calibri" w:eastAsia="Calibri" w:hAnsi="Calibri"/>
                <w:b w:val="false"/>
                <w:bCs w:val="false"/>
                <w:color w:val="2D2D2D"/>
                <w:sz w:val="20"/>
                <w:szCs w:val="20"/>
              </w:rPr>
              <w:t xml:space="preserve">session:read</w:t>
            </w:r>
          </w:p>
        </w:tc>
        <w:tc>
          <w:tcPr>
            <w:tcW w:type="dxa" w:w="3000"/>
            <w:tcMar>
              <w:top w:type="dxa" w:w="40"/>
              <w:left w:type="dxa" w:w="80"/>
              <w:bottom w:type="dxa" w:w="40"/>
              <w:right w:type="dxa" w:w="80"/>
            </w:tcMar>
          </w:tcPr>
          <w:p>
            <w:r>
              <w:rPr>
                <w:rFonts w:ascii="Calibri" w:cs="Calibri" w:eastAsia="Calibri" w:hAnsi="Calibri"/>
                <w:b w:val="false"/>
                <w:bCs w:val="false"/>
                <w:color w:val="2D2D2D"/>
                <w:sz w:val="20"/>
                <w:szCs w:val="20"/>
              </w:rPr>
              <w:t xml:space="preserve">Retrieve live session state, rounds, prices</w:t>
            </w:r>
          </w:p>
        </w:tc>
      </w:tr>
      <w:tr>
        <w:tc>
          <w:tcPr>
            <w:tcW w:type="dxa" w:w="1000"/>
            <w:tcMar>
              <w:top w:type="dxa" w:w="40"/>
              <w:left w:type="dxa" w:w="80"/>
              <w:bottom w:type="dxa" w:w="40"/>
              <w:right w:type="dxa" w:w="80"/>
            </w:tcMar>
          </w:tcPr>
          <w:p>
            <w:r>
              <w:rPr>
                <w:rFonts w:ascii="Calibri" w:cs="Calibri" w:eastAsia="Calibri" w:hAnsi="Calibri"/>
                <w:b w:val="false"/>
                <w:bCs w:val="false"/>
                <w:color w:val="2D2D2D"/>
                <w:sz w:val="20"/>
                <w:szCs w:val="20"/>
              </w:rPr>
              <w:t xml:space="preserve">POST</w:t>
            </w:r>
          </w:p>
        </w:tc>
        <w:tc>
          <w:tcPr>
            <w:tcW w:type="dxa" w:w="3200"/>
            <w:tcMar>
              <w:top w:type="dxa" w:w="40"/>
              <w:left w:type="dxa" w:w="80"/>
              <w:bottom w:type="dxa" w:w="40"/>
              <w:right w:type="dxa" w:w="80"/>
            </w:tcMar>
          </w:tcPr>
          <w:p>
            <w:r>
              <w:rPr>
                <w:rFonts w:ascii="Calibri" w:cs="Calibri" w:eastAsia="Calibri" w:hAnsi="Calibri"/>
                <w:b w:val="false"/>
                <w:bCs w:val="false"/>
                <w:color w:val="2D2D2D"/>
                <w:sz w:val="20"/>
                <w:szCs w:val="20"/>
              </w:rPr>
              <w:t xml:space="preserve">/api/v1/sessions/{id}/moves</w:t>
            </w:r>
          </w:p>
        </w:tc>
        <w:tc>
          <w:tcPr>
            <w:tcW w:type="dxa" w:w="2400"/>
            <w:tcMar>
              <w:top w:type="dxa" w:w="40"/>
              <w:left w:type="dxa" w:w="80"/>
              <w:bottom w:type="dxa" w:w="40"/>
              <w:right w:type="dxa" w:w="80"/>
            </w:tcMar>
          </w:tcPr>
          <w:p>
            <w:r>
              <w:rPr>
                <w:rFonts w:ascii="Calibri" w:cs="Calibri" w:eastAsia="Calibri" w:hAnsi="Calibri"/>
                <w:b w:val="false"/>
                <w:bCs w:val="false"/>
                <w:color w:val="2D2D2D"/>
                <w:sz w:val="20"/>
                <w:szCs w:val="20"/>
              </w:rPr>
              <w:t xml:space="preserve">buyer:negotiate</w:t>
            </w:r>
          </w:p>
        </w:tc>
        <w:tc>
          <w:tcPr>
            <w:tcW w:type="dxa" w:w="3000"/>
            <w:tcMar>
              <w:top w:type="dxa" w:w="40"/>
              <w:left w:type="dxa" w:w="80"/>
              <w:bottom w:type="dxa" w:w="40"/>
              <w:right w:type="dxa" w:w="80"/>
            </w:tcMar>
          </w:tcPr>
          <w:p>
            <w:r>
              <w:rPr>
                <w:rFonts w:ascii="Calibri" w:cs="Calibri" w:eastAsia="Calibri" w:hAnsi="Calibri"/>
                <w:b w:val="false"/>
                <w:bCs w:val="false"/>
                <w:color w:val="2D2D2D"/>
                <w:sz w:val="20"/>
                <w:szCs w:val="20"/>
              </w:rPr>
              <w:t xml:space="preserve">Submit buyer proposal; returns seller counter-offer</w:t>
            </w:r>
          </w:p>
        </w:tc>
      </w:tr>
      <w:tr>
        <w:tc>
          <w:tcPr>
            <w:tcW w:type="dxa" w:w="1000"/>
            <w:tcMar>
              <w:top w:type="dxa" w:w="40"/>
              <w:left w:type="dxa" w:w="80"/>
              <w:bottom w:type="dxa" w:w="40"/>
              <w:right w:type="dxa" w:w="80"/>
            </w:tcMar>
          </w:tcPr>
          <w:p>
            <w:r>
              <w:rPr>
                <w:rFonts w:ascii="Calibri" w:cs="Calibri" w:eastAsia="Calibri" w:hAnsi="Calibri"/>
                <w:b w:val="false"/>
                <w:bCs w:val="false"/>
                <w:color w:val="2D2D2D"/>
                <w:sz w:val="20"/>
                <w:szCs w:val="20"/>
              </w:rPr>
              <w:t xml:space="preserve">POST</w:t>
            </w:r>
          </w:p>
        </w:tc>
        <w:tc>
          <w:tcPr>
            <w:tcW w:type="dxa" w:w="3200"/>
            <w:tcMar>
              <w:top w:type="dxa" w:w="40"/>
              <w:left w:type="dxa" w:w="80"/>
              <w:bottom w:type="dxa" w:w="40"/>
              <w:right w:type="dxa" w:w="80"/>
            </w:tcMar>
          </w:tcPr>
          <w:p>
            <w:r>
              <w:rPr>
                <w:rFonts w:ascii="Calibri" w:cs="Calibri" w:eastAsia="Calibri" w:hAnsi="Calibri"/>
                <w:b w:val="false"/>
                <w:bCs w:val="false"/>
                <w:color w:val="2D2D2D"/>
                <w:sz w:val="20"/>
                <w:szCs w:val="20"/>
              </w:rPr>
              <w:t xml:space="preserve">/api/v1/sessions/{id}/accept</w:t>
            </w:r>
          </w:p>
        </w:tc>
        <w:tc>
          <w:tcPr>
            <w:tcW w:type="dxa" w:w="2400"/>
            <w:tcMar>
              <w:top w:type="dxa" w:w="40"/>
              <w:left w:type="dxa" w:w="80"/>
              <w:bottom w:type="dxa" w:w="40"/>
              <w:right w:type="dxa" w:w="80"/>
            </w:tcMar>
          </w:tcPr>
          <w:p>
            <w:r>
              <w:rPr>
                <w:rFonts w:ascii="Calibri" w:cs="Calibri" w:eastAsia="Calibri" w:hAnsi="Calibri"/>
                <w:b w:val="false"/>
                <w:bCs w:val="false"/>
                <w:color w:val="2D2D2D"/>
                <w:sz w:val="20"/>
                <w:szCs w:val="20"/>
              </w:rPr>
              <w:t xml:space="preserve">buyer:accept</w:t>
            </w:r>
          </w:p>
        </w:tc>
        <w:tc>
          <w:tcPr>
            <w:tcW w:type="dxa" w:w="3000"/>
            <w:tcMar>
              <w:top w:type="dxa" w:w="40"/>
              <w:left w:type="dxa" w:w="80"/>
              <w:bottom w:type="dxa" w:w="40"/>
              <w:right w:type="dxa" w:w="80"/>
            </w:tcMar>
          </w:tcPr>
          <w:p>
            <w:r>
              <w:rPr>
                <w:rFonts w:ascii="Calibri" w:cs="Calibri" w:eastAsia="Calibri" w:hAnsi="Calibri"/>
                <w:b w:val="false"/>
                <w:bCs w:val="false"/>
                <w:color w:val="2D2D2D"/>
                <w:sz w:val="20"/>
                <w:szCs w:val="20"/>
              </w:rPr>
              <w:t xml:space="preserve">Buyer accepts seller's latest counter-offer</w:t>
            </w:r>
          </w:p>
        </w:tc>
      </w:tr>
      <w:tr>
        <w:tc>
          <w:tcPr>
            <w:tcW w:type="dxa" w:w="1000"/>
            <w:tcMar>
              <w:top w:type="dxa" w:w="40"/>
              <w:left w:type="dxa" w:w="80"/>
              <w:bottom w:type="dxa" w:w="40"/>
              <w:right w:type="dxa" w:w="80"/>
            </w:tcMar>
          </w:tcPr>
          <w:p>
            <w:r>
              <w:rPr>
                <w:rFonts w:ascii="Calibri" w:cs="Calibri" w:eastAsia="Calibri" w:hAnsi="Calibri"/>
                <w:b w:val="false"/>
                <w:bCs w:val="false"/>
                <w:color w:val="2D2D2D"/>
                <w:sz w:val="20"/>
                <w:szCs w:val="20"/>
              </w:rPr>
              <w:t xml:space="preserve">POST</w:t>
            </w:r>
          </w:p>
        </w:tc>
        <w:tc>
          <w:tcPr>
            <w:tcW w:type="dxa" w:w="3200"/>
            <w:tcMar>
              <w:top w:type="dxa" w:w="40"/>
              <w:left w:type="dxa" w:w="80"/>
              <w:bottom w:type="dxa" w:w="40"/>
              <w:right w:type="dxa" w:w="80"/>
            </w:tcMar>
          </w:tcPr>
          <w:p>
            <w:r>
              <w:rPr>
                <w:rFonts w:ascii="Calibri" w:cs="Calibri" w:eastAsia="Calibri" w:hAnsi="Calibri"/>
                <w:b w:val="false"/>
                <w:bCs w:val="false"/>
                <w:color w:val="2D2D2D"/>
                <w:sz w:val="20"/>
                <w:szCs w:val="20"/>
              </w:rPr>
              <w:t xml:space="preserve">/api/v1/sessions/{id}/decline</w:t>
            </w:r>
          </w:p>
        </w:tc>
        <w:tc>
          <w:tcPr>
            <w:tcW w:type="dxa" w:w="2400"/>
            <w:tcMar>
              <w:top w:type="dxa" w:w="40"/>
              <w:left w:type="dxa" w:w="80"/>
              <w:bottom w:type="dxa" w:w="40"/>
              <w:right w:type="dxa" w:w="80"/>
            </w:tcMar>
          </w:tcPr>
          <w:p>
            <w:r>
              <w:rPr>
                <w:rFonts w:ascii="Calibri" w:cs="Calibri" w:eastAsia="Calibri" w:hAnsi="Calibri"/>
                <w:b w:val="false"/>
                <w:bCs w:val="false"/>
                <w:color w:val="2D2D2D"/>
                <w:sz w:val="20"/>
                <w:szCs w:val="20"/>
              </w:rPr>
              <w:t xml:space="preserve">buyer:negotiate</w:t>
            </w:r>
          </w:p>
        </w:tc>
        <w:tc>
          <w:tcPr>
            <w:tcW w:type="dxa" w:w="3000"/>
            <w:tcMar>
              <w:top w:type="dxa" w:w="40"/>
              <w:left w:type="dxa" w:w="80"/>
              <w:bottom w:type="dxa" w:w="40"/>
              <w:right w:type="dxa" w:w="80"/>
            </w:tcMar>
          </w:tcPr>
          <w:p>
            <w:r>
              <w:rPr>
                <w:rFonts w:ascii="Calibri" w:cs="Calibri" w:eastAsia="Calibri" w:hAnsi="Calibri"/>
                <w:b w:val="false"/>
                <w:bCs w:val="false"/>
                <w:color w:val="2D2D2D"/>
                <w:sz w:val="20"/>
                <w:szCs w:val="20"/>
              </w:rPr>
              <w:t xml:space="preserve">Buyer walks away, session transitions to REJECTED</w:t>
            </w:r>
          </w:p>
        </w:tc>
      </w:tr>
      <w:tr>
        <w:tc>
          <w:tcPr>
            <w:tcW w:type="dxa" w:w="1000"/>
            <w:tcMar>
              <w:top w:type="dxa" w:w="40"/>
              <w:left w:type="dxa" w:w="80"/>
              <w:bottom w:type="dxa" w:w="40"/>
              <w:right w:type="dxa" w:w="80"/>
            </w:tcMar>
          </w:tcPr>
          <w:p>
            <w:r>
              <w:rPr>
                <w:rFonts w:ascii="Calibri" w:cs="Calibri" w:eastAsia="Calibri" w:hAnsi="Calibri"/>
                <w:b w:val="false"/>
                <w:bCs w:val="false"/>
                <w:color w:val="2D2D2D"/>
                <w:sz w:val="20"/>
                <w:szCs w:val="20"/>
              </w:rPr>
              <w:t xml:space="preserve">POST</w:t>
            </w:r>
          </w:p>
        </w:tc>
        <w:tc>
          <w:tcPr>
            <w:tcW w:type="dxa" w:w="3200"/>
            <w:tcMar>
              <w:top w:type="dxa" w:w="40"/>
              <w:left w:type="dxa" w:w="80"/>
              <w:bottom w:type="dxa" w:w="40"/>
              <w:right w:type="dxa" w:w="80"/>
            </w:tcMar>
          </w:tcPr>
          <w:p>
            <w:r>
              <w:rPr>
                <w:rFonts w:ascii="Calibri" w:cs="Calibri" w:eastAsia="Calibri" w:hAnsi="Calibri"/>
                <w:b w:val="false"/>
                <w:bCs w:val="false"/>
                <w:color w:val="2D2D2D"/>
                <w:sz w:val="20"/>
                <w:szCs w:val="20"/>
              </w:rPr>
              <w:t xml:space="preserve">/api/v1/sessions/{id}/merchant-decision</w:t>
            </w:r>
          </w:p>
        </w:tc>
        <w:tc>
          <w:tcPr>
            <w:tcW w:type="dxa" w:w="2400"/>
            <w:tcMar>
              <w:top w:type="dxa" w:w="40"/>
              <w:left w:type="dxa" w:w="80"/>
              <w:bottom w:type="dxa" w:w="40"/>
              <w:right w:type="dxa" w:w="80"/>
            </w:tcMar>
          </w:tcPr>
          <w:p>
            <w:r>
              <w:rPr>
                <w:rFonts w:ascii="Calibri" w:cs="Calibri" w:eastAsia="Calibri" w:hAnsi="Calibri"/>
                <w:b w:val="false"/>
                <w:bCs w:val="false"/>
                <w:color w:val="2D2D2D"/>
                <w:sz w:val="20"/>
                <w:szCs w:val="20"/>
              </w:rPr>
              <w:t xml:space="preserve">merchant:{action}</w:t>
            </w:r>
          </w:p>
        </w:tc>
        <w:tc>
          <w:tcPr>
            <w:tcW w:type="dxa" w:w="3000"/>
            <w:tcMar>
              <w:top w:type="dxa" w:w="40"/>
              <w:left w:type="dxa" w:w="80"/>
              <w:bottom w:type="dxa" w:w="40"/>
              <w:right w:type="dxa" w:w="80"/>
            </w:tcMar>
          </w:tcPr>
          <w:p>
            <w:r>
              <w:rPr>
                <w:rFonts w:ascii="Calibri" w:cs="Calibri" w:eastAsia="Calibri" w:hAnsi="Calibri"/>
                <w:b w:val="false"/>
                <w:bCs w:val="false"/>
                <w:color w:val="2D2D2D"/>
                <w:sz w:val="20"/>
                <w:szCs w:val="20"/>
              </w:rPr>
              <w:t xml:space="preserve">Merchant approve, reject, or counter-offer</w:t>
            </w:r>
          </w:p>
        </w:tc>
      </w:tr>
      <w:tr>
        <w:tc>
          <w:tcPr>
            <w:tcW w:type="dxa" w:w="1000"/>
            <w:tcMar>
              <w:top w:type="dxa" w:w="40"/>
              <w:left w:type="dxa" w:w="80"/>
              <w:bottom w:type="dxa" w:w="40"/>
              <w:right w:type="dxa" w:w="80"/>
            </w:tcMar>
          </w:tcPr>
          <w:p>
            <w:r>
              <w:rPr>
                <w:rFonts w:ascii="Calibri" w:cs="Calibri" w:eastAsia="Calibri" w:hAnsi="Calibri"/>
                <w:b w:val="false"/>
                <w:bCs w:val="false"/>
                <w:color w:val="2D2D2D"/>
                <w:sz w:val="20"/>
                <w:szCs w:val="20"/>
              </w:rPr>
              <w:t xml:space="preserve">GET</w:t>
            </w:r>
          </w:p>
        </w:tc>
        <w:tc>
          <w:tcPr>
            <w:tcW w:type="dxa" w:w="3200"/>
            <w:tcMar>
              <w:top w:type="dxa" w:w="40"/>
              <w:left w:type="dxa" w:w="80"/>
              <w:bottom w:type="dxa" w:w="40"/>
              <w:right w:type="dxa" w:w="80"/>
            </w:tcMar>
          </w:tcPr>
          <w:p>
            <w:r>
              <w:rPr>
                <w:rFonts w:ascii="Calibri" w:cs="Calibri" w:eastAsia="Calibri" w:hAnsi="Calibri"/>
                <w:b w:val="false"/>
                <w:bCs w:val="false"/>
                <w:color w:val="2D2D2D"/>
                <w:sz w:val="20"/>
                <w:szCs w:val="20"/>
              </w:rPr>
              <w:t xml:space="preserve">/api/v1/sessions/{id}/audit</w:t>
            </w:r>
          </w:p>
        </w:tc>
        <w:tc>
          <w:tcPr>
            <w:tcW w:type="dxa" w:w="2400"/>
            <w:tcMar>
              <w:top w:type="dxa" w:w="40"/>
              <w:left w:type="dxa" w:w="80"/>
              <w:bottom w:type="dxa" w:w="40"/>
              <w:right w:type="dxa" w:w="80"/>
            </w:tcMar>
          </w:tcPr>
          <w:p>
            <w:r>
              <w:rPr>
                <w:rFonts w:ascii="Calibri" w:cs="Calibri" w:eastAsia="Calibri" w:hAnsi="Calibri"/>
                <w:b w:val="false"/>
                <w:bCs w:val="false"/>
                <w:color w:val="2D2D2D"/>
                <w:sz w:val="20"/>
                <w:szCs w:val="20"/>
              </w:rPr>
              <w:t xml:space="preserve">audit:read</w:t>
            </w:r>
          </w:p>
        </w:tc>
        <w:tc>
          <w:tcPr>
            <w:tcW w:type="dxa" w:w="3000"/>
            <w:tcMar>
              <w:top w:type="dxa" w:w="40"/>
              <w:left w:type="dxa" w:w="80"/>
              <w:bottom w:type="dxa" w:w="40"/>
              <w:right w:type="dxa" w:w="80"/>
            </w:tcMar>
          </w:tcPr>
          <w:p>
            <w:r>
              <w:rPr>
                <w:rFonts w:ascii="Calibri" w:cs="Calibri" w:eastAsia="Calibri" w:hAnsi="Calibri"/>
                <w:b w:val="false"/>
                <w:bCs w:val="false"/>
                <w:color w:val="2D2D2D"/>
                <w:sz w:val="20"/>
                <w:szCs w:val="20"/>
              </w:rPr>
              <w:t xml:space="preserve">Fetch SHA-256 hash-chained audit log</w:t>
            </w:r>
          </w:p>
        </w:tc>
      </w:tr>
      <w:tr>
        <w:tc>
          <w:tcPr>
            <w:tcW w:type="dxa" w:w="1000"/>
            <w:tcMar>
              <w:top w:type="dxa" w:w="40"/>
              <w:left w:type="dxa" w:w="80"/>
              <w:bottom w:type="dxa" w:w="40"/>
              <w:right w:type="dxa" w:w="80"/>
            </w:tcMar>
          </w:tcPr>
          <w:p>
            <w:r>
              <w:rPr>
                <w:rFonts w:ascii="Calibri" w:cs="Calibri" w:eastAsia="Calibri" w:hAnsi="Calibri"/>
                <w:b w:val="false"/>
                <w:bCs w:val="false"/>
                <w:color w:val="2D2D2D"/>
                <w:sz w:val="20"/>
                <w:szCs w:val="20"/>
              </w:rPr>
              <w:t xml:space="preserve">GET</w:t>
            </w:r>
          </w:p>
        </w:tc>
        <w:tc>
          <w:tcPr>
            <w:tcW w:type="dxa" w:w="3200"/>
            <w:tcMar>
              <w:top w:type="dxa" w:w="40"/>
              <w:left w:type="dxa" w:w="80"/>
              <w:bottom w:type="dxa" w:w="40"/>
              <w:right w:type="dxa" w:w="80"/>
            </w:tcMar>
          </w:tcPr>
          <w:p>
            <w:r>
              <w:rPr>
                <w:rFonts w:ascii="Calibri" w:cs="Calibri" w:eastAsia="Calibri" w:hAnsi="Calibri"/>
                <w:b w:val="false"/>
                <w:bCs w:val="false"/>
                <w:color w:val="2D2D2D"/>
                <w:sz w:val="20"/>
                <w:szCs w:val="20"/>
              </w:rPr>
              <w:t xml:space="preserve">/api/v1/sessions/{id}/replay</w:t>
            </w:r>
          </w:p>
        </w:tc>
        <w:tc>
          <w:tcPr>
            <w:tcW w:type="dxa" w:w="2400"/>
            <w:tcMar>
              <w:top w:type="dxa" w:w="40"/>
              <w:left w:type="dxa" w:w="80"/>
              <w:bottom w:type="dxa" w:w="40"/>
              <w:right w:type="dxa" w:w="80"/>
            </w:tcMar>
          </w:tcPr>
          <w:p>
            <w:r>
              <w:rPr>
                <w:rFonts w:ascii="Calibri" w:cs="Calibri" w:eastAsia="Calibri" w:hAnsi="Calibri"/>
                <w:b w:val="false"/>
                <w:bCs w:val="false"/>
                <w:color w:val="2D2D2D"/>
                <w:sz w:val="20"/>
                <w:szCs w:val="20"/>
              </w:rPr>
              <w:t xml:space="preserve">audit:read</w:t>
            </w:r>
          </w:p>
        </w:tc>
        <w:tc>
          <w:tcPr>
            <w:tcW w:type="dxa" w:w="3000"/>
            <w:tcMar>
              <w:top w:type="dxa" w:w="40"/>
              <w:left w:type="dxa" w:w="80"/>
              <w:bottom w:type="dxa" w:w="40"/>
              <w:right w:type="dxa" w:w="80"/>
            </w:tcMar>
          </w:tcPr>
          <w:p>
            <w:r>
              <w:rPr>
                <w:rFonts w:ascii="Calibri" w:cs="Calibri" w:eastAsia="Calibri" w:hAnsi="Calibri"/>
                <w:b w:val="false"/>
                <w:bCs w:val="false"/>
                <w:color w:val="2D2D2D"/>
                <w:sz w:val="20"/>
                <w:szCs w:val="20"/>
              </w:rPr>
              <w:t xml:space="preserve">Chronological timeline of all negotiation events</w:t>
            </w:r>
          </w:p>
        </w:tc>
      </w:tr>
      <w:tr>
        <w:tc>
          <w:tcPr>
            <w:tcW w:type="dxa" w:w="1000"/>
            <w:tcMar>
              <w:top w:type="dxa" w:w="40"/>
              <w:left w:type="dxa" w:w="80"/>
              <w:bottom w:type="dxa" w:w="40"/>
              <w:right w:type="dxa" w:w="80"/>
            </w:tcMar>
          </w:tcPr>
          <w:p>
            <w:r>
              <w:rPr>
                <w:rFonts w:ascii="Calibri" w:cs="Calibri" w:eastAsia="Calibri" w:hAnsi="Calibri"/>
                <w:b w:val="false"/>
                <w:bCs w:val="false"/>
                <w:color w:val="2D2D2D"/>
                <w:sz w:val="20"/>
                <w:szCs w:val="20"/>
              </w:rPr>
              <w:t xml:space="preserve">GET</w:t>
            </w:r>
          </w:p>
        </w:tc>
        <w:tc>
          <w:tcPr>
            <w:tcW w:type="dxa" w:w="3200"/>
            <w:tcMar>
              <w:top w:type="dxa" w:w="40"/>
              <w:left w:type="dxa" w:w="80"/>
              <w:bottom w:type="dxa" w:w="40"/>
              <w:right w:type="dxa" w:w="80"/>
            </w:tcMar>
          </w:tcPr>
          <w:p>
            <w:r>
              <w:rPr>
                <w:rFonts w:ascii="Calibri" w:cs="Calibri" w:eastAsia="Calibri" w:hAnsi="Calibri"/>
                <w:b w:val="false"/>
                <w:bCs w:val="false"/>
                <w:color w:val="2D2D2D"/>
                <w:sz w:val="20"/>
                <w:szCs w:val="20"/>
              </w:rPr>
              <w:t xml:space="preserve">/api/v1/sessions/{id}/verify</w:t>
            </w:r>
          </w:p>
        </w:tc>
        <w:tc>
          <w:tcPr>
            <w:tcW w:type="dxa" w:w="2400"/>
            <w:tcMar>
              <w:top w:type="dxa" w:w="40"/>
              <w:left w:type="dxa" w:w="80"/>
              <w:bottom w:type="dxa" w:w="40"/>
              <w:right w:type="dxa" w:w="80"/>
            </w:tcMar>
          </w:tcPr>
          <w:p>
            <w:r>
              <w:rPr>
                <w:rFonts w:ascii="Calibri" w:cs="Calibri" w:eastAsia="Calibri" w:hAnsi="Calibri"/>
                <w:b w:val="false"/>
                <w:bCs w:val="false"/>
                <w:color w:val="2D2D2D"/>
                <w:sz w:val="20"/>
                <w:szCs w:val="20"/>
              </w:rPr>
              <w:t xml:space="preserve">audit:read</w:t>
            </w:r>
          </w:p>
        </w:tc>
        <w:tc>
          <w:tcPr>
            <w:tcW w:type="dxa" w:w="3000"/>
            <w:tcMar>
              <w:top w:type="dxa" w:w="40"/>
              <w:left w:type="dxa" w:w="80"/>
              <w:bottom w:type="dxa" w:w="40"/>
              <w:right w:type="dxa" w:w="80"/>
            </w:tcMar>
          </w:tcPr>
          <w:p>
            <w:r>
              <w:rPr>
                <w:rFonts w:ascii="Calibri" w:cs="Calibri" w:eastAsia="Calibri" w:hAnsi="Calibri"/>
                <w:b w:val="false"/>
                <w:bCs w:val="false"/>
                <w:color w:val="2D2D2D"/>
                <w:sz w:val="20"/>
                <w:szCs w:val="20"/>
              </w:rPr>
              <w:t xml:space="preserve">Cryptographic chain verification proof</w:t>
            </w:r>
          </w:p>
        </w:tc>
      </w:tr>
      <w:tr>
        <w:tc>
          <w:tcPr>
            <w:tcW w:type="dxa" w:w="1000"/>
            <w:tcMar>
              <w:top w:type="dxa" w:w="40"/>
              <w:left w:type="dxa" w:w="80"/>
              <w:bottom w:type="dxa" w:w="40"/>
              <w:right w:type="dxa" w:w="80"/>
            </w:tcMar>
          </w:tcPr>
          <w:p>
            <w:r>
              <w:rPr>
                <w:rFonts w:ascii="Calibri" w:cs="Calibri" w:eastAsia="Calibri" w:hAnsi="Calibri"/>
                <w:b w:val="false"/>
                <w:bCs w:val="false"/>
                <w:color w:val="2D2D2D"/>
                <w:sz w:val="20"/>
                <w:szCs w:val="20"/>
              </w:rPr>
              <w:t xml:space="preserve">GET</w:t>
            </w:r>
          </w:p>
        </w:tc>
        <w:tc>
          <w:tcPr>
            <w:tcW w:type="dxa" w:w="3200"/>
            <w:tcMar>
              <w:top w:type="dxa" w:w="40"/>
              <w:left w:type="dxa" w:w="80"/>
              <w:bottom w:type="dxa" w:w="40"/>
              <w:right w:type="dxa" w:w="80"/>
            </w:tcMar>
          </w:tcPr>
          <w:p>
            <w:r>
              <w:rPr>
                <w:rFonts w:ascii="Calibri" w:cs="Calibri" w:eastAsia="Calibri" w:hAnsi="Calibri"/>
                <w:b w:val="false"/>
                <w:bCs w:val="false"/>
                <w:color w:val="2D2D2D"/>
                <w:sz w:val="20"/>
                <w:szCs w:val="20"/>
              </w:rPr>
              <w:t xml:space="preserve">/api/v1/checkout/{id}</w:t>
            </w:r>
          </w:p>
        </w:tc>
        <w:tc>
          <w:tcPr>
            <w:tcW w:type="dxa" w:w="2400"/>
            <w:tcMar>
              <w:top w:type="dxa" w:w="40"/>
              <w:left w:type="dxa" w:w="80"/>
              <w:bottom w:type="dxa" w:w="40"/>
              <w:right w:type="dxa" w:w="80"/>
            </w:tcMar>
          </w:tcPr>
          <w:p>
            <w:r>
              <w:rPr>
                <w:rFonts w:ascii="Calibri" w:cs="Calibri" w:eastAsia="Calibri" w:hAnsi="Calibri"/>
                <w:b w:val="false"/>
                <w:bCs w:val="false"/>
                <w:color w:val="2D2D2D"/>
                <w:sz w:val="20"/>
                <w:szCs w:val="20"/>
              </w:rPr>
              <w:t xml:space="preserve">Public</w:t>
            </w:r>
          </w:p>
        </w:tc>
        <w:tc>
          <w:tcPr>
            <w:tcW w:type="dxa" w:w="3000"/>
            <w:tcMar>
              <w:top w:type="dxa" w:w="40"/>
              <w:left w:type="dxa" w:w="80"/>
              <w:bottom w:type="dxa" w:w="40"/>
              <w:right w:type="dxa" w:w="80"/>
            </w:tcMar>
          </w:tcPr>
          <w:p>
            <w:r>
              <w:rPr>
                <w:rFonts w:ascii="Calibri" w:cs="Calibri" w:eastAsia="Calibri" w:hAnsi="Calibri"/>
                <w:b w:val="false"/>
                <w:bCs w:val="false"/>
                <w:color w:val="2D2D2D"/>
                <w:sz w:val="20"/>
                <w:szCs w:val="20"/>
              </w:rPr>
              <w:t xml:space="preserve">Render Razorpay Standard Checkout page</w:t>
            </w:r>
          </w:p>
        </w:tc>
      </w:tr>
      <w:tr>
        <w:tc>
          <w:tcPr>
            <w:tcW w:type="dxa" w:w="1000"/>
            <w:tcMar>
              <w:top w:type="dxa" w:w="40"/>
              <w:left w:type="dxa" w:w="80"/>
              <w:bottom w:type="dxa" w:w="40"/>
              <w:right w:type="dxa" w:w="80"/>
            </w:tcMar>
          </w:tcPr>
          <w:p>
            <w:r>
              <w:rPr>
                <w:rFonts w:ascii="Calibri" w:cs="Calibri" w:eastAsia="Calibri" w:hAnsi="Calibri"/>
                <w:b w:val="false"/>
                <w:bCs w:val="false"/>
                <w:color w:val="2D2D2D"/>
                <w:sz w:val="20"/>
                <w:szCs w:val="20"/>
              </w:rPr>
              <w:t xml:space="preserve">GET</w:t>
            </w:r>
          </w:p>
        </w:tc>
        <w:tc>
          <w:tcPr>
            <w:tcW w:type="dxa" w:w="3200"/>
            <w:tcMar>
              <w:top w:type="dxa" w:w="40"/>
              <w:left w:type="dxa" w:w="80"/>
              <w:bottom w:type="dxa" w:w="40"/>
              <w:right w:type="dxa" w:w="80"/>
            </w:tcMar>
          </w:tcPr>
          <w:p>
            <w:r>
              <w:rPr>
                <w:rFonts w:ascii="Calibri" w:cs="Calibri" w:eastAsia="Calibri" w:hAnsi="Calibri"/>
                <w:b w:val="false"/>
                <w:bCs w:val="false"/>
                <w:color w:val="2D2D2D"/>
                <w:sz w:val="20"/>
                <w:szCs w:val="20"/>
              </w:rPr>
              <w:t xml:space="preserve">/api/v1/health</w:t>
            </w:r>
          </w:p>
        </w:tc>
        <w:tc>
          <w:tcPr>
            <w:tcW w:type="dxa" w:w="2400"/>
            <w:tcMar>
              <w:top w:type="dxa" w:w="40"/>
              <w:left w:type="dxa" w:w="80"/>
              <w:bottom w:type="dxa" w:w="40"/>
              <w:right w:type="dxa" w:w="80"/>
            </w:tcMar>
          </w:tcPr>
          <w:p>
            <w:r>
              <w:rPr>
                <w:rFonts w:ascii="Calibri" w:cs="Calibri" w:eastAsia="Calibri" w:hAnsi="Calibri"/>
                <w:b w:val="false"/>
                <w:bCs w:val="false"/>
                <w:color w:val="2D2D2D"/>
                <w:sz w:val="20"/>
                <w:szCs w:val="20"/>
              </w:rPr>
              <w:t xml:space="preserve">Public</w:t>
            </w:r>
          </w:p>
        </w:tc>
        <w:tc>
          <w:tcPr>
            <w:tcW w:type="dxa" w:w="3000"/>
            <w:tcMar>
              <w:top w:type="dxa" w:w="40"/>
              <w:left w:type="dxa" w:w="80"/>
              <w:bottom w:type="dxa" w:w="40"/>
              <w:right w:type="dxa" w:w="80"/>
            </w:tcMar>
          </w:tcPr>
          <w:p>
            <w:r>
              <w:rPr>
                <w:rFonts w:ascii="Calibri" w:cs="Calibri" w:eastAsia="Calibri" w:hAnsi="Calibri"/>
                <w:b w:val="false"/>
                <w:bCs w:val="false"/>
                <w:color w:val="2D2D2D"/>
                <w:sz w:val="20"/>
                <w:szCs w:val="20"/>
              </w:rPr>
              <w:t xml:space="preserve">Health check with engine version</w:t>
            </w:r>
          </w:p>
        </w:tc>
      </w:tr>
    </w:tbl>
    <w:p>
      <w:r>
        <w:br w:type="page"/>
      </w:r>
    </w:p>
    <w:p>
      <w:pPr>
        <w:pStyle w:val="Heading1"/>
        <w:spacing w:after="150" w:before="300"/>
      </w:pPr>
      <w:r>
        <w:rPr>
          <w:rFonts w:ascii="Calibri" w:cs="Calibri" w:eastAsia="Calibri" w:hAnsi="Calibri"/>
          <w:b/>
          <w:bCs/>
          <w:color w:val="1A3C6E"/>
        </w:rPr>
        <w:t xml:space="preserve">3. Core Architectural Pillars</w:t>
      </w:r>
    </w:p>
    <w:p>
      <w:pPr>
        <w:pStyle w:val="Heading2"/>
        <w:spacing w:after="150" w:before="300"/>
      </w:pPr>
      <w:r>
        <w:rPr>
          <w:rFonts w:ascii="Calibri" w:cs="Calibri" w:eastAsia="Calibri" w:hAnsi="Calibri"/>
          <w:b/>
          <w:bCs/>
          <w:color w:val="1A3C6E"/>
        </w:rPr>
        <w:t xml:space="preserve">3.1 Two-Phase Guardrail Waterfall</w:t>
      </w:r>
    </w:p>
    <w:p>
      <w:pPr>
        <w:spacing w:after="120" w:line="276"/>
      </w:pPr>
      <w:r>
        <w:rPr>
          <w:rFonts w:ascii="Calibri" w:cs="Calibri" w:eastAsia="Calibri" w:hAnsi="Calibri"/>
          <w:color w:val="2D2D2D"/>
          <w:sz w:val="22"/>
          <w:szCs w:val="22"/>
        </w:rPr>
        <w:t xml:space="preserve">Every buyer offer passes through two enforcement phases. Phase 1 (Pre-LLM) evaluates the offer against six deterministic rules before the LLM is called: FloorPriceRule enforces the absolute minimum price, MarginFloorRule ensures cost-plus-margin protection, MaxDiscountRule caps cumulative discount percentage, QuantityTierRule applies volume bracket pricing, RoundLimitRule enforces the 5-round quota, and InventoryDiscretionRule applies aged-stock discounts when applicable.</w:t>
      </w:r>
    </w:p>
    <w:p>
      <w:pPr>
        <w:spacing w:after="120" w:line="276"/>
      </w:pPr>
      <w:r>
        <w:rPr>
          <w:rFonts w:ascii="Calibri" w:cs="Calibri" w:eastAsia="Calibri" w:hAnsi="Calibri"/>
          <w:color w:val="2D2D2D"/>
          <w:sz w:val="22"/>
          <w:szCs w:val="22"/>
        </w:rPr>
        <w:t xml:space="preserve">Phase 2 (Post-LLM) clamps the LLM's proposed counter-offer to the floor price if it drifts below, overrides contradictory acceptance flags, scrubs any inventory-leaking language from the customer-facing justification, and flags offers in the approval band for merchant review. Every rule evaluation is recorded in the offer_events table with passed_rules and violated_rules arrays for auditability.</w:t>
      </w:r>
    </w:p>
    <w:p>
      <w:pPr>
        <w:pStyle w:val="Heading2"/>
        <w:spacing w:after="150" w:before="300"/>
      </w:pPr>
      <w:r>
        <w:rPr>
          <w:rFonts w:ascii="Calibri" w:cs="Calibri" w:eastAsia="Calibri" w:hAnsi="Calibri"/>
          <w:b/>
          <w:bCs/>
          <w:color w:val="1A3C6E"/>
        </w:rPr>
        <w:t xml:space="preserve">3.2 Information Asymmetry &amp; Non-Disclosure</w:t>
      </w:r>
    </w:p>
    <w:p>
      <w:pPr>
        <w:spacing w:after="120" w:line="276"/>
      </w:pPr>
      <w:r>
        <w:rPr>
          <w:rFonts w:ascii="Calibri" w:cs="Calibri" w:eastAsia="Calibri" w:hAnsi="Calibri"/>
          <w:color w:val="2D2D2D"/>
          <w:sz w:val="22"/>
          <w:szCs w:val="22"/>
        </w:rPr>
        <w:t xml:space="preserve">Grounded in PrefBench (arXiv:2605.22855) and supply chain bargaining literature (arXiv:2608.07538), the platform enforces strict separation between customer-facing and merchant-confidential channels. Customer-facing justifications never mention warehouse stock counts, distress phrasing (clearance, aged stock, desperate), or internal margin formulas. Automated regex scrubbing in the post-LLM layer catches and sanitizes any leaks. The internal_reasoning field provides full transparency to the merchant, documenting margin percentage, carrying cost savings, and inventory turnover metrics.</w:t>
      </w:r>
    </w:p>
    <w:p>
      <w:pPr>
        <w:spacing w:after="120" w:line="276"/>
      </w:pPr>
      <w:r>
        <w:rPr>
          <w:rFonts w:ascii="Calibri" w:cs="Calibri" w:eastAsia="Calibri" w:hAnsi="Calibri"/>
          <w:color w:val="2D2D2D"/>
          <w:sz w:val="22"/>
          <w:szCs w:val="22"/>
        </w:rPr>
        <w:t xml:space="preserve">The safety reserve buffer (buyer_quantity &lt;= stock_quantity - 50) automatically escalates to PENDING_APPROVAL when fulfilling an order would leave fewer than 50 units in reserve, presenting the buyer with a neutral escalation message rather than revealing the inventory constraint.</w:t>
      </w:r>
    </w:p>
    <w:p>
      <w:pPr>
        <w:pStyle w:val="Heading2"/>
        <w:spacing w:after="150" w:before="300"/>
      </w:pPr>
      <w:r>
        <w:rPr>
          <w:rFonts w:ascii="Calibri" w:cs="Calibri" w:eastAsia="Calibri" w:hAnsi="Calibri"/>
          <w:b/>
          <w:bCs/>
          <w:color w:val="1A3C6E"/>
        </w:rPr>
        <w:t xml:space="preserve">3.3 Deterministic 7-State FSM</w:t>
      </w:r>
    </w:p>
    <w:p>
      <w:pPr>
        <w:spacing w:after="120" w:line="276"/>
      </w:pPr>
      <w:r>
        <w:rPr>
          <w:rFonts w:ascii="Calibri" w:cs="Calibri" w:eastAsia="Calibri" w:hAnsi="Calibri"/>
          <w:color w:val="2D2D2D"/>
          <w:sz w:val="22"/>
          <w:szCs w:val="22"/>
        </w:rPr>
        <w:t xml:space="preserve">The NegotiationFSM (fsm.py) governs seven states: INITIATED, IN_PROGRESS, PENDING_APPROVAL, FINAL_OFFER, AGREED, REJECTED, and EXPIRED. Terminal states (AGREED, REJECTED, EXPIRED) permanently lock the session with a 409 Conflict response on any further action. FINAL_OFFER carries a 15-minute accept-or-walk expiry window enforced via lazy check-on-read. PENDING_APPROVAL carries a 30-minute merchant response timeout that auto-rejects on expiry. Optimistic concurrency control via the updated_at column prevents race conditions on concurrent session mutations.</w:t>
      </w:r>
    </w:p>
    <w:p>
      <w:pPr>
        <w:pStyle w:val="Heading2"/>
        <w:spacing w:after="150" w:before="300"/>
      </w:pPr>
      <w:r>
        <w:rPr>
          <w:rFonts w:ascii="Calibri" w:cs="Calibri" w:eastAsia="Calibri" w:hAnsi="Calibri"/>
          <w:b/>
          <w:bCs/>
          <w:color w:val="1A3C6E"/>
        </w:rPr>
        <w:t xml:space="preserve">3.4 SHA-256 Tamper-Evident Audit Trail</w:t>
      </w:r>
    </w:p>
    <w:p>
      <w:pPr>
        <w:spacing w:after="120" w:line="276"/>
      </w:pPr>
      <w:r>
        <w:rPr>
          <w:rFonts w:ascii="Calibri" w:cs="Calibri" w:eastAsia="Calibri" w:hAnsi="Calibri"/>
          <w:color w:val="2D2D2D"/>
          <w:sz w:val="22"/>
          <w:szCs w:val="22"/>
        </w:rPr>
        <w:t xml:space="preserve">Every state transition, offer event, merchant decision, and system action is recorded in the audit_logs table with cryptographic hash chaining. Each entry's hash is computed from the concatenation of the previous entry's hash, the session ID, the event ID (nullable for lifecycle transitions), the canonical JSON snapshot, and the timestamp. The /verify endpoint walks the chain entry-by-entry, recomputes each hash, and reports whether the chain is intact or broken, including the exact sequence number of any tampered entry.</w:t>
      </w:r>
    </w:p>
    <w:p>
      <w:pPr>
        <w:pStyle w:val="Heading2"/>
        <w:spacing w:after="150" w:before="300"/>
      </w:pPr>
      <w:r>
        <w:rPr>
          <w:rFonts w:ascii="Calibri" w:cs="Calibri" w:eastAsia="Calibri" w:hAnsi="Calibri"/>
          <w:b/>
          <w:bCs/>
          <w:color w:val="1A3C6E"/>
        </w:rPr>
        <w:t xml:space="preserve">3.5 Autonomous Buyer Agent with Outlay Math</w:t>
      </w:r>
    </w:p>
    <w:p>
      <w:pPr>
        <w:spacing w:after="120" w:line="276"/>
      </w:pPr>
      <w:r>
        <w:rPr>
          <w:rFonts w:ascii="Calibri" w:cs="Calibri" w:eastAsia="Calibri" w:hAnsi="Calibri"/>
          <w:color w:val="2D2D2D"/>
          <w:sz w:val="22"/>
          <w:szCs w:val="22"/>
        </w:rPr>
        <w:t xml:space="preserve">The BuyerAgent (demo/buyer_agent/agent.py) enforces dual-metric acceptance: unit price must be at or below the walk-away price AND total outlay (price multiplied by quantity) must be at or below the budget cap. When a seller counter-offers an attractive unit rate but inflates the batch volume beyond budget, the buyer rejects acceptance and counters with the maximum affordable quantity at the offered unit rate. Post-LLM guardrails clamp the buyer's offer to the walk-away price and enforce maximum 5% per-round concession increases.</w:t>
      </w:r>
    </w:p>
    <w:p>
      <w:pPr>
        <w:pStyle w:val="Heading2"/>
        <w:spacing w:after="150" w:before="300"/>
      </w:pPr>
      <w:r>
        <w:rPr>
          <w:rFonts w:ascii="Calibri" w:cs="Calibri" w:eastAsia="Calibri" w:hAnsi="Calibri"/>
          <w:b/>
          <w:bCs/>
          <w:color w:val="1A3C6E"/>
        </w:rPr>
        <w:t xml:space="preserve">3.6 Razorpay Standard Checkout</w:t>
      </w:r>
    </w:p>
    <w:p>
      <w:pPr>
        <w:spacing w:after="120" w:line="276"/>
      </w:pPr>
      <w:r>
        <w:rPr>
          <w:rFonts w:ascii="Calibri" w:cs="Calibri" w:eastAsia="Calibri" w:hAnsi="Calibri"/>
          <w:color w:val="2D2D2D"/>
          <w:sz w:val="22"/>
          <w:szCs w:val="22"/>
        </w:rPr>
        <w:t xml:space="preserve">Upon reaching AGREED from any path (buyer acceptance, merchant approval, or final offer acceptance), the system calculates the total amount in paise (final_agreed_price multiplied by quantity multiplied by 100), generates a checkout URL, and renders a settlement page with the exact negotiated quantity and total payable. The checkout.html template injects server-side computed values to prevent client-side manipulation of the payment amount.</w:t>
      </w:r>
    </w:p>
    <w:p>
      <w:r>
        <w:br w:type="page"/>
      </w:r>
    </w:p>
    <w:p>
      <w:pPr>
        <w:pStyle w:val="Heading1"/>
        <w:spacing w:after="150" w:before="300"/>
      </w:pPr>
      <w:r>
        <w:rPr>
          <w:rFonts w:ascii="Calibri" w:cs="Calibri" w:eastAsia="Calibri" w:hAnsi="Calibri"/>
          <w:b/>
          <w:bCs/>
          <w:color w:val="1A3C6E"/>
        </w:rPr>
        <w:t xml:space="preserve">4. Testing &amp; Verification</w:t>
      </w:r>
    </w:p>
    <w:p>
      <w:pPr>
        <w:pStyle w:val="Heading2"/>
        <w:spacing w:after="150" w:before="300"/>
      </w:pPr>
      <w:r>
        <w:rPr>
          <w:rFonts w:ascii="Calibri" w:cs="Calibri" w:eastAsia="Calibri" w:hAnsi="Calibri"/>
          <w:b/>
          <w:bCs/>
          <w:color w:val="1A3C6E"/>
        </w:rPr>
        <w:t xml:space="preserve">4.1 Modular Test Suite (19/19 Pass)</w:t>
      </w:r>
    </w:p>
    <w:p>
      <w:pPr>
        <w:spacing w:after="120" w:line="276"/>
      </w:pPr>
      <w:r>
        <w:rPr>
          <w:rFonts w:ascii="Calibri" w:cs="Calibri" w:eastAsia="Calibri" w:hAnsi="Calibri"/>
          <w:color w:val="2D2D2D"/>
          <w:sz w:val="22"/>
          <w:szCs w:val="22"/>
        </w:rPr>
        <w:t xml:space="preserve">The automated test suite (run_modular_tests.py) executes across three progressive tiers. Tier 1 covers independent module verification with 8 unit tests: Pydantic model validation, 6 individual pricing rules, guardrail waterfall composition, FSM state and transition guards, SHA-256 hash chaining with tamper detection, post-LLM clamping and inventory sanitization, role-based scope enforcement, and API schema serialization.</w:t>
      </w:r>
    </w:p>
    <w:p>
      <w:pPr>
        <w:spacing w:after="120" w:line="276"/>
      </w:pPr>
      <w:r>
        <w:rPr>
          <w:rFonts w:ascii="Calibri" w:cs="Calibri" w:eastAsia="Calibri" w:hAnsi="Calibri"/>
          <w:color w:val="2D2D2D"/>
          <w:sz w:val="22"/>
          <w:szCs w:val="22"/>
        </w:rPr>
        <w:t xml:space="preserve">Tier 2 covers combined integration with 7 pairwise tests: FSM transitions coupled with cryptographic audit, pre-LLM guardrails combined with post-LLM clamping, safety reserve buffer escalation, session orchestrator with repository, FastAPI route handlers with checkout template rendering, buyer agent total outlay and budget cap enforcement, and A2A negotiated quantity checkout settlement.</w:t>
      </w:r>
    </w:p>
    <w:p>
      <w:pPr>
        <w:spacing w:after="120" w:line="276"/>
      </w:pPr>
      <w:r>
        <w:rPr>
          <w:rFonts w:ascii="Calibri" w:cs="Calibri" w:eastAsia="Calibri" w:hAnsi="Calibri"/>
          <w:color w:val="2D2D2D"/>
          <w:sz w:val="22"/>
          <w:szCs w:val="22"/>
        </w:rPr>
        <w:t xml:space="preserve">Tier 3 covers 4 end-to-end golden scenario simulations: standard wholesale bargain to agreement, safety stock deficit triggering merchant escalation, aggressive lowball with floor defense, and buyer walkout with clean session termination.</w:t>
      </w:r>
    </w:p>
    <w:p>
      <w:pPr>
        <w:pStyle w:val="Heading2"/>
        <w:spacing w:after="150" w:before="300"/>
      </w:pPr>
      <w:r>
        <w:rPr>
          <w:rFonts w:ascii="Calibri" w:cs="Calibri" w:eastAsia="Calibri" w:hAnsi="Calibri"/>
          <w:b/>
          <w:bCs/>
          <w:color w:val="1A3C6E"/>
        </w:rPr>
        <w:t xml:space="preserve">4.2 Benchmark &amp; Adversarial Testing</w:t>
      </w:r>
    </w:p>
    <w:p>
      <w:pPr>
        <w:spacing w:after="120" w:line="276"/>
      </w:pPr>
      <w:r>
        <w:rPr>
          <w:rFonts w:ascii="Calibri" w:cs="Calibri" w:eastAsia="Calibri" w:hAnsi="Calibri"/>
          <w:color w:val="2D2D2D"/>
          <w:sz w:val="22"/>
          <w:szCs w:val="22"/>
        </w:rPr>
        <w:t xml:space="preserve">The statistical benchmark suite (tests/test_benchmark.py) runs N synthetic negotiations across 8 buyer personas and reports three key metrics: Average Order Value (AOV) versus static catalog pricing, gross margin percentage preservation across all closed deals, and zero floor-price breaches across the full adversarial set.</w:t>
      </w:r>
    </w:p>
    <w:p>
      <w:pPr>
        <w:spacing w:after="120" w:line="276"/>
      </w:pPr>
      <w:r>
        <w:rPr>
          <w:rFonts w:ascii="Calibri" w:cs="Calibri" w:eastAsia="Calibri" w:hAnsi="Calibri"/>
          <w:color w:val="2D2D2D"/>
          <w:sz w:val="22"/>
          <w:szCs w:val="22"/>
        </w:rPr>
        <w:t xml:space="preserve">The adversarial test suite includes 9 prompt injection attacks: fake system prompt override, role switching (buyer impersonating merchant), raw JSON injection, emotional manipulation, fabricated competitor pricing, unicode and special character exploits, extremely long messages, and empty string inputs. Every adversarial test asserts zero floor breaches and no system crashes.</w:t>
      </w:r>
    </w:p>
    <w:p>
      <w:r>
        <w:br w:type="page"/>
      </w:r>
    </w:p>
    <w:p>
      <w:pPr>
        <w:pStyle w:val="Heading1"/>
        <w:spacing w:after="150" w:before="300"/>
      </w:pPr>
      <w:r>
        <w:rPr>
          <w:rFonts w:ascii="Calibri" w:cs="Calibri" w:eastAsia="Calibri" w:hAnsi="Calibri"/>
          <w:b/>
          <w:bCs/>
          <w:color w:val="1A3C6E"/>
        </w:rPr>
        <w:t xml:space="preserve">5. Evaluation Rubrics (100 Points)</w:t>
      </w:r>
    </w:p>
    <w:p>
      <w:pPr>
        <w:spacing w:after="120" w:line="276"/>
      </w:pPr>
      <w:r>
        <w:rPr>
          <w:rFonts w:ascii="Calibri" w:cs="Calibri" w:eastAsia="Calibri" w:hAnsi="Calibri"/>
          <w:color w:val="2D2D2D"/>
          <w:sz w:val="22"/>
          <w:szCs w:val="22"/>
        </w:rPr>
        <w:t xml:space="preserve">The evaluation framework scores the platform across four equally weighted categories of 25 points each. Scoring is based on 5 golden path test cases that exercise every major system capability.</w:t>
      </w:r>
    </w:p>
    <w:p>
      <w:pPr>
        <w:pStyle w:val="Heading2"/>
        <w:spacing w:after="150" w:before="300"/>
      </w:pPr>
      <w:r>
        <w:rPr>
          <w:rFonts w:ascii="Calibri" w:cs="Calibri" w:eastAsia="Calibri" w:hAnsi="Calibri"/>
          <w:b/>
          <w:bCs/>
          <w:color w:val="1A3C6E"/>
        </w:rPr>
        <w:t xml:space="preserve">5.1 Strategic Bargaining &amp; Harvard Give-Get Principles (25 pts)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gridCol w:w="1600"/>
      </w:tblGrid>
      <w:tr>
        <w:tc>
          <w:tcPr>
            <w:tcW w:type="dxa" w:w="2600"/>
            <w:shd w:fill="1A3C6E" w:val="clear"/>
            <w:tcMar>
              <w:top w:type="dxa" w:w="40"/>
              <w:left w:type="dxa" w:w="80"/>
              <w:bottom w:type="dxa" w:w="40"/>
              <w:right w:type="dxa" w:w="80"/>
            </w:tcMar>
          </w:tcPr>
          <w:p>
            <w:r>
              <w:rPr>
                <w:rFonts w:ascii="Calibri" w:cs="Calibri" w:eastAsia="Calibri" w:hAnsi="Calibri"/>
                <w:b/>
                <w:bCs/>
                <w:color w:val="FFFFFF"/>
                <w:sz w:val="20"/>
                <w:szCs w:val="20"/>
              </w:rPr>
              <w:t xml:space="preserve">Criteria</w:t>
            </w:r>
          </w:p>
        </w:tc>
        <w:tc>
          <w:tcPr>
            <w:tcW w:type="dxa" w:w="5400"/>
            <w:shd w:fill="1A3C6E" w:val="clear"/>
            <w:tcMar>
              <w:top w:type="dxa" w:w="40"/>
              <w:left w:type="dxa" w:w="80"/>
              <w:bottom w:type="dxa" w:w="40"/>
              <w:right w:type="dxa" w:w="80"/>
            </w:tcMar>
          </w:tcPr>
          <w:p>
            <w:r>
              <w:rPr>
                <w:rFonts w:ascii="Calibri" w:cs="Calibri" w:eastAsia="Calibri" w:hAnsi="Calibri"/>
                <w:b/>
                <w:bCs/>
                <w:color w:val="FFFFFF"/>
                <w:sz w:val="20"/>
                <w:szCs w:val="20"/>
              </w:rPr>
              <w:t xml:space="preserve">Benchmark</w:t>
            </w:r>
          </w:p>
        </w:tc>
        <w:tc>
          <w:tcPr>
            <w:tcW w:type="dxa" w:w="1600"/>
            <w:shd w:fill="1A3C6E" w:val="clear"/>
            <w:tcMar>
              <w:top w:type="dxa" w:w="40"/>
              <w:left w:type="dxa" w:w="80"/>
              <w:bottom w:type="dxa" w:w="40"/>
              <w:right w:type="dxa" w:w="80"/>
            </w:tcMar>
          </w:tcPr>
          <w:p>
            <w:r>
              <w:rPr>
                <w:rFonts w:ascii="Calibri" w:cs="Calibri" w:eastAsia="Calibri" w:hAnsi="Calibri"/>
                <w:b/>
                <w:bCs/>
                <w:color w:val="FFFFFF"/>
                <w:sz w:val="20"/>
                <w:szCs w:val="20"/>
              </w:rPr>
              <w:t xml:space="preserve">Max</w:t>
            </w:r>
          </w:p>
        </w:tc>
      </w:tr>
      <w:tr>
        <w:tc>
          <w:tcPr>
            <w:tcW w:type="dxa" w:w="2600"/>
            <w:tcMar>
              <w:top w:type="dxa" w:w="40"/>
              <w:left w:type="dxa" w:w="80"/>
              <w:bottom w:type="dxa" w:w="40"/>
              <w:right w:type="dxa" w:w="80"/>
            </w:tcMar>
          </w:tcPr>
          <w:p>
            <w:r>
              <w:rPr>
                <w:rFonts w:ascii="Calibri" w:cs="Calibri" w:eastAsia="Calibri" w:hAnsi="Calibri"/>
                <w:b w:val="false"/>
                <w:bCs w:val="false"/>
                <w:color w:val="2D2D2D"/>
                <w:sz w:val="20"/>
                <w:szCs w:val="20"/>
              </w:rPr>
              <w:t xml:space="preserve">Harvard Give-Get Trade-off</w:t>
            </w:r>
          </w:p>
        </w:tc>
        <w:tc>
          <w:tcPr>
            <w:tcW w:type="dxa" w:w="5400"/>
            <w:tcMar>
              <w:top w:type="dxa" w:w="40"/>
              <w:left w:type="dxa" w:w="80"/>
              <w:bottom w:type="dxa" w:w="40"/>
              <w:right w:type="dxa" w:w="80"/>
            </w:tcMar>
          </w:tcPr>
          <w:p>
            <w:r>
              <w:rPr>
                <w:rFonts w:ascii="Calibri" w:cs="Calibri" w:eastAsia="Calibri" w:hAnsi="Calibri"/>
                <w:b w:val="false"/>
                <w:bCs w:val="false"/>
                <w:color w:val="2D2D2D"/>
                <w:sz w:val="20"/>
                <w:szCs w:val="20"/>
              </w:rPr>
              <w:t xml:space="preserve">Demands concessions (volume, fast PO, priority) before lowering price</w:t>
            </w:r>
          </w:p>
        </w:tc>
        <w:tc>
          <w:tcPr>
            <w:tcW w:type="dxa" w:w="1600"/>
            <w:tcMar>
              <w:top w:type="dxa" w:w="40"/>
              <w:left w:type="dxa" w:w="80"/>
              <w:bottom w:type="dxa" w:w="40"/>
              <w:right w:type="dxa" w:w="80"/>
            </w:tcMar>
          </w:tcPr>
          <w:p>
            <w:r>
              <w:rPr>
                <w:rFonts w:ascii="Calibri" w:cs="Calibri" w:eastAsia="Calibri" w:hAnsi="Calibri"/>
                <w:b w:val="false"/>
                <w:bCs w:val="false"/>
                <w:color w:val="2D2D2D"/>
                <w:sz w:val="20"/>
                <w:szCs w:val="20"/>
              </w:rPr>
              <w:t xml:space="preserve">7</w:t>
            </w:r>
          </w:p>
        </w:tc>
      </w:tr>
      <w:tr>
        <w:tc>
          <w:tcPr>
            <w:tcW w:type="dxa" w:w="2600"/>
            <w:tcMar>
              <w:top w:type="dxa" w:w="40"/>
              <w:left w:type="dxa" w:w="80"/>
              <w:bottom w:type="dxa" w:w="40"/>
              <w:right w:type="dxa" w:w="80"/>
            </w:tcMar>
          </w:tcPr>
          <w:p>
            <w:r>
              <w:rPr>
                <w:rFonts w:ascii="Calibri" w:cs="Calibri" w:eastAsia="Calibri" w:hAnsi="Calibri"/>
                <w:b w:val="false"/>
                <w:bCs w:val="false"/>
                <w:color w:val="2D2D2D"/>
                <w:sz w:val="20"/>
                <w:szCs w:val="20"/>
              </w:rPr>
              <w:t xml:space="preserve">Boulware Concession Decay</w:t>
            </w:r>
          </w:p>
        </w:tc>
        <w:tc>
          <w:tcPr>
            <w:tcW w:type="dxa" w:w="5400"/>
            <w:tcMar>
              <w:top w:type="dxa" w:w="40"/>
              <w:left w:type="dxa" w:w="80"/>
              <w:bottom w:type="dxa" w:w="40"/>
              <w:right w:type="dxa" w:w="80"/>
            </w:tcMar>
          </w:tcPr>
          <w:p>
            <w:r>
              <w:rPr>
                <w:rFonts w:ascii="Calibri" w:cs="Calibri" w:eastAsia="Calibri" w:hAnsi="Calibri"/>
                <w:b w:val="false"/>
                <w:bCs w:val="false"/>
                <w:color w:val="2D2D2D"/>
                <w:sz w:val="20"/>
                <w:szCs w:val="20"/>
              </w:rPr>
              <w:t xml:space="preserve">Concessions shrink monotonically across rounds</w:t>
            </w:r>
          </w:p>
        </w:tc>
        <w:tc>
          <w:tcPr>
            <w:tcW w:type="dxa" w:w="1600"/>
            <w:tcMar>
              <w:top w:type="dxa" w:w="40"/>
              <w:left w:type="dxa" w:w="80"/>
              <w:bottom w:type="dxa" w:w="40"/>
              <w:right w:type="dxa" w:w="80"/>
            </w:tcMar>
          </w:tcPr>
          <w:p>
            <w:r>
              <w:rPr>
                <w:rFonts w:ascii="Calibri" w:cs="Calibri" w:eastAsia="Calibri" w:hAnsi="Calibri"/>
                <w:b w:val="false"/>
                <w:bCs w:val="false"/>
                <w:color w:val="2D2D2D"/>
                <w:sz w:val="20"/>
                <w:szCs w:val="20"/>
              </w:rPr>
              <w:t xml:space="preserve">6</w:t>
            </w:r>
          </w:p>
        </w:tc>
      </w:tr>
      <w:tr>
        <w:tc>
          <w:tcPr>
            <w:tcW w:type="dxa" w:w="2600"/>
            <w:tcMar>
              <w:top w:type="dxa" w:w="40"/>
              <w:left w:type="dxa" w:w="80"/>
              <w:bottom w:type="dxa" w:w="40"/>
              <w:right w:type="dxa" w:w="80"/>
            </w:tcMar>
          </w:tcPr>
          <w:p>
            <w:r>
              <w:rPr>
                <w:rFonts w:ascii="Calibri" w:cs="Calibri" w:eastAsia="Calibri" w:hAnsi="Calibri"/>
                <w:b w:val="false"/>
                <w:bCs w:val="false"/>
                <w:color w:val="2D2D2D"/>
                <w:sz w:val="20"/>
                <w:szCs w:val="20"/>
              </w:rPr>
              <w:t xml:space="preserve">Anti-Robotic Commercial Tone</w:t>
            </w:r>
          </w:p>
        </w:tc>
        <w:tc>
          <w:tcPr>
            <w:tcW w:type="dxa" w:w="5400"/>
            <w:tcMar>
              <w:top w:type="dxa" w:w="40"/>
              <w:left w:type="dxa" w:w="80"/>
              <w:bottom w:type="dxa" w:w="40"/>
              <w:right w:type="dxa" w:w="80"/>
            </w:tcMar>
          </w:tcPr>
          <w:p>
            <w:r>
              <w:rPr>
                <w:rFonts w:ascii="Calibri" w:cs="Calibri" w:eastAsia="Calibri" w:hAnsi="Calibri"/>
                <w:b w:val="false"/>
                <w:bCs w:val="false"/>
                <w:color w:val="2D2D2D"/>
                <w:sz w:val="20"/>
                <w:szCs w:val="20"/>
              </w:rPr>
              <w:t xml:space="preserve">Natural wholesale merchant tone, no arithmetic formulas exposed</w:t>
            </w:r>
          </w:p>
        </w:tc>
        <w:tc>
          <w:tcPr>
            <w:tcW w:type="dxa" w:w="1600"/>
            <w:tcMar>
              <w:top w:type="dxa" w:w="40"/>
              <w:left w:type="dxa" w:w="80"/>
              <w:bottom w:type="dxa" w:w="40"/>
              <w:right w:type="dxa" w:w="80"/>
            </w:tcMar>
          </w:tcPr>
          <w:p>
            <w:r>
              <w:rPr>
                <w:rFonts w:ascii="Calibri" w:cs="Calibri" w:eastAsia="Calibri" w:hAnsi="Calibri"/>
                <w:b w:val="false"/>
                <w:bCs w:val="false"/>
                <w:color w:val="2D2D2D"/>
                <w:sz w:val="20"/>
                <w:szCs w:val="20"/>
              </w:rPr>
              <w:t xml:space="preserve">6</w:t>
            </w:r>
          </w:p>
        </w:tc>
      </w:tr>
      <w:tr>
        <w:tc>
          <w:tcPr>
            <w:tcW w:type="dxa" w:w="2600"/>
            <w:tcMar>
              <w:top w:type="dxa" w:w="40"/>
              <w:left w:type="dxa" w:w="80"/>
              <w:bottom w:type="dxa" w:w="40"/>
              <w:right w:type="dxa" w:w="80"/>
            </w:tcMar>
          </w:tcPr>
          <w:p>
            <w:r>
              <w:rPr>
                <w:rFonts w:ascii="Calibri" w:cs="Calibri" w:eastAsia="Calibri" w:hAnsi="Calibri"/>
                <w:b w:val="false"/>
                <w:bCs w:val="false"/>
                <w:color w:val="2D2D2D"/>
                <w:sz w:val="20"/>
                <w:szCs w:val="20"/>
              </w:rPr>
              <w:t xml:space="preserve">Logrolling / Volume Upsell</w:t>
            </w:r>
          </w:p>
        </w:tc>
        <w:tc>
          <w:tcPr>
            <w:tcW w:type="dxa" w:w="5400"/>
            <w:tcMar>
              <w:top w:type="dxa" w:w="40"/>
              <w:left w:type="dxa" w:w="80"/>
              <w:bottom w:type="dxa" w:w="40"/>
              <w:right w:type="dxa" w:w="80"/>
            </w:tcMar>
          </w:tcPr>
          <w:p>
            <w:r>
              <w:rPr>
                <w:rFonts w:ascii="Calibri" w:cs="Calibri" w:eastAsia="Calibri" w:hAnsi="Calibri"/>
                <w:b w:val="false"/>
                <w:bCs w:val="false"/>
                <w:color w:val="2D2D2D"/>
                <w:sz w:val="20"/>
                <w:szCs w:val="20"/>
              </w:rPr>
              <w:t xml:space="preserve">Proposes counter-quantity when buyer demands deep discount</w:t>
            </w:r>
          </w:p>
        </w:tc>
        <w:tc>
          <w:tcPr>
            <w:tcW w:type="dxa" w:w="1600"/>
            <w:tcMar>
              <w:top w:type="dxa" w:w="40"/>
              <w:left w:type="dxa" w:w="80"/>
              <w:bottom w:type="dxa" w:w="40"/>
              <w:right w:type="dxa" w:w="80"/>
            </w:tcMar>
          </w:tcPr>
          <w:p>
            <w:r>
              <w:rPr>
                <w:rFonts w:ascii="Calibri" w:cs="Calibri" w:eastAsia="Calibri" w:hAnsi="Calibri"/>
                <w:b w:val="false"/>
                <w:bCs w:val="false"/>
                <w:color w:val="2D2D2D"/>
                <w:sz w:val="20"/>
                <w:szCs w:val="20"/>
              </w:rPr>
              <w:t xml:space="preserve">6</w:t>
            </w:r>
          </w:p>
        </w:tc>
      </w:tr>
    </w:tbl>
    <w:p>
      <w:pPr>
        <w:pStyle w:val="Heading2"/>
        <w:spacing w:after="150" w:before="300"/>
      </w:pPr>
      <w:r>
        <w:rPr>
          <w:rFonts w:ascii="Calibri" w:cs="Calibri" w:eastAsia="Calibri" w:hAnsi="Calibri"/>
          <w:b/>
          <w:bCs/>
          <w:color w:val="1A3C6E"/>
        </w:rPr>
        <w:t xml:space="preserve">5.2 Information Asymmetry &amp; Constraint Secrecy (25 pts)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gridCol w:w="1600"/>
      </w:tblGrid>
      <w:tr>
        <w:tc>
          <w:tcPr>
            <w:tcW w:type="dxa" w:w="2600"/>
            <w:shd w:fill="1A3C6E" w:val="clear"/>
            <w:tcMar>
              <w:top w:type="dxa" w:w="40"/>
              <w:left w:type="dxa" w:w="80"/>
              <w:bottom w:type="dxa" w:w="40"/>
              <w:right w:type="dxa" w:w="80"/>
            </w:tcMar>
          </w:tcPr>
          <w:p>
            <w:r>
              <w:rPr>
                <w:rFonts w:ascii="Calibri" w:cs="Calibri" w:eastAsia="Calibri" w:hAnsi="Calibri"/>
                <w:b/>
                <w:bCs/>
                <w:color w:val="FFFFFF"/>
                <w:sz w:val="20"/>
                <w:szCs w:val="20"/>
              </w:rPr>
              <w:t xml:space="preserve">Criteria</w:t>
            </w:r>
          </w:p>
        </w:tc>
        <w:tc>
          <w:tcPr>
            <w:tcW w:type="dxa" w:w="5400"/>
            <w:shd w:fill="1A3C6E" w:val="clear"/>
            <w:tcMar>
              <w:top w:type="dxa" w:w="40"/>
              <w:left w:type="dxa" w:w="80"/>
              <w:bottom w:type="dxa" w:w="40"/>
              <w:right w:type="dxa" w:w="80"/>
            </w:tcMar>
          </w:tcPr>
          <w:p>
            <w:r>
              <w:rPr>
                <w:rFonts w:ascii="Calibri" w:cs="Calibri" w:eastAsia="Calibri" w:hAnsi="Calibri"/>
                <w:b/>
                <w:bCs/>
                <w:color w:val="FFFFFF"/>
                <w:sz w:val="20"/>
                <w:szCs w:val="20"/>
              </w:rPr>
              <w:t xml:space="preserve">Benchmark</w:t>
            </w:r>
          </w:p>
        </w:tc>
        <w:tc>
          <w:tcPr>
            <w:tcW w:type="dxa" w:w="1600"/>
            <w:shd w:fill="1A3C6E" w:val="clear"/>
            <w:tcMar>
              <w:top w:type="dxa" w:w="40"/>
              <w:left w:type="dxa" w:w="80"/>
              <w:bottom w:type="dxa" w:w="40"/>
              <w:right w:type="dxa" w:w="80"/>
            </w:tcMar>
          </w:tcPr>
          <w:p>
            <w:r>
              <w:rPr>
                <w:rFonts w:ascii="Calibri" w:cs="Calibri" w:eastAsia="Calibri" w:hAnsi="Calibri"/>
                <w:b/>
                <w:bCs/>
                <w:color w:val="FFFFFF"/>
                <w:sz w:val="20"/>
                <w:szCs w:val="20"/>
              </w:rPr>
              <w:t xml:space="preserve">Max</w:t>
            </w:r>
          </w:p>
        </w:tc>
      </w:tr>
      <w:tr>
        <w:tc>
          <w:tcPr>
            <w:tcW w:type="dxa" w:w="2600"/>
            <w:tcMar>
              <w:top w:type="dxa" w:w="40"/>
              <w:left w:type="dxa" w:w="80"/>
              <w:bottom w:type="dxa" w:w="40"/>
              <w:right w:type="dxa" w:w="80"/>
            </w:tcMar>
          </w:tcPr>
          <w:p>
            <w:r>
              <w:rPr>
                <w:rFonts w:ascii="Calibri" w:cs="Calibri" w:eastAsia="Calibri" w:hAnsi="Calibri"/>
                <w:b w:val="false"/>
                <w:bCs w:val="false"/>
                <w:color w:val="2D2D2D"/>
                <w:sz w:val="20"/>
                <w:szCs w:val="20"/>
              </w:rPr>
              <w:t xml:space="preserve">Zero Warehouse Inventory Leakage</w:t>
            </w:r>
          </w:p>
        </w:tc>
        <w:tc>
          <w:tcPr>
            <w:tcW w:type="dxa" w:w="5400"/>
            <w:tcMar>
              <w:top w:type="dxa" w:w="40"/>
              <w:left w:type="dxa" w:w="80"/>
              <w:bottom w:type="dxa" w:w="40"/>
              <w:right w:type="dxa" w:w="80"/>
            </w:tcMar>
          </w:tcPr>
          <w:p>
            <w:r>
              <w:rPr>
                <w:rFonts w:ascii="Calibri" w:cs="Calibri" w:eastAsia="Calibri" w:hAnsi="Calibri"/>
                <w:b w:val="false"/>
                <w:bCs w:val="false"/>
                <w:color w:val="2D2D2D"/>
                <w:sz w:val="20"/>
                <w:szCs w:val="20"/>
              </w:rPr>
              <w:t xml:space="preserve">Customer message never mentions stock counts</w:t>
            </w:r>
          </w:p>
        </w:tc>
        <w:tc>
          <w:tcPr>
            <w:tcW w:type="dxa" w:w="1600"/>
            <w:tcMar>
              <w:top w:type="dxa" w:w="40"/>
              <w:left w:type="dxa" w:w="80"/>
              <w:bottom w:type="dxa" w:w="40"/>
              <w:right w:type="dxa" w:w="80"/>
            </w:tcMar>
          </w:tcPr>
          <w:p>
            <w:r>
              <w:rPr>
                <w:rFonts w:ascii="Calibri" w:cs="Calibri" w:eastAsia="Calibri" w:hAnsi="Calibri"/>
                <w:b w:val="false"/>
                <w:bCs w:val="false"/>
                <w:color w:val="2D2D2D"/>
                <w:sz w:val="20"/>
                <w:szCs w:val="20"/>
              </w:rPr>
              <w:t xml:space="preserve">8</w:t>
            </w:r>
          </w:p>
        </w:tc>
      </w:tr>
      <w:tr>
        <w:tc>
          <w:tcPr>
            <w:tcW w:type="dxa" w:w="2600"/>
            <w:tcMar>
              <w:top w:type="dxa" w:w="40"/>
              <w:left w:type="dxa" w:w="80"/>
              <w:bottom w:type="dxa" w:w="40"/>
              <w:right w:type="dxa" w:w="80"/>
            </w:tcMar>
          </w:tcPr>
          <w:p>
            <w:r>
              <w:rPr>
                <w:rFonts w:ascii="Calibri" w:cs="Calibri" w:eastAsia="Calibri" w:hAnsi="Calibri"/>
                <w:b w:val="false"/>
                <w:bCs w:val="false"/>
                <w:color w:val="2D2D2D"/>
                <w:sz w:val="20"/>
                <w:szCs w:val="20"/>
              </w:rPr>
              <w:t xml:space="preserve">Distress Phrasing Prevention</w:t>
            </w:r>
          </w:p>
        </w:tc>
        <w:tc>
          <w:tcPr>
            <w:tcW w:type="dxa" w:w="5400"/>
            <w:tcMar>
              <w:top w:type="dxa" w:w="40"/>
              <w:left w:type="dxa" w:w="80"/>
              <w:bottom w:type="dxa" w:w="40"/>
              <w:right w:type="dxa" w:w="80"/>
            </w:tcMar>
          </w:tcPr>
          <w:p>
            <w:r>
              <w:rPr>
                <w:rFonts w:ascii="Calibri" w:cs="Calibri" w:eastAsia="Calibri" w:hAnsi="Calibri"/>
                <w:b w:val="false"/>
                <w:bCs w:val="false"/>
                <w:color w:val="2D2D2D"/>
                <w:sz w:val="20"/>
                <w:szCs w:val="20"/>
              </w:rPr>
              <w:t xml:space="preserve">No clearance, aged stock, or desperate language in customer output</w:t>
            </w:r>
          </w:p>
        </w:tc>
        <w:tc>
          <w:tcPr>
            <w:tcW w:type="dxa" w:w="1600"/>
            <w:tcMar>
              <w:top w:type="dxa" w:w="40"/>
              <w:left w:type="dxa" w:w="80"/>
              <w:bottom w:type="dxa" w:w="40"/>
              <w:right w:type="dxa" w:w="80"/>
            </w:tcMar>
          </w:tcPr>
          <w:p>
            <w:r>
              <w:rPr>
                <w:rFonts w:ascii="Calibri" w:cs="Calibri" w:eastAsia="Calibri" w:hAnsi="Calibri"/>
                <w:b w:val="false"/>
                <w:bCs w:val="false"/>
                <w:color w:val="2D2D2D"/>
                <w:sz w:val="20"/>
                <w:szCs w:val="20"/>
              </w:rPr>
              <w:t xml:space="preserve">6</w:t>
            </w:r>
          </w:p>
        </w:tc>
      </w:tr>
      <w:tr>
        <w:tc>
          <w:tcPr>
            <w:tcW w:type="dxa" w:w="2600"/>
            <w:tcMar>
              <w:top w:type="dxa" w:w="40"/>
              <w:left w:type="dxa" w:w="80"/>
              <w:bottom w:type="dxa" w:w="40"/>
              <w:right w:type="dxa" w:w="80"/>
            </w:tcMar>
          </w:tcPr>
          <w:p>
            <w:r>
              <w:rPr>
                <w:rFonts w:ascii="Calibri" w:cs="Calibri" w:eastAsia="Calibri" w:hAnsi="Calibri"/>
                <w:b w:val="false"/>
                <w:bCs w:val="false"/>
                <w:color w:val="2D2D2D"/>
                <w:sz w:val="20"/>
                <w:szCs w:val="20"/>
              </w:rPr>
              <w:t xml:space="preserve">Margin Floor Secrecy</w:t>
            </w:r>
          </w:p>
        </w:tc>
        <w:tc>
          <w:tcPr>
            <w:tcW w:type="dxa" w:w="5400"/>
            <w:tcMar>
              <w:top w:type="dxa" w:w="40"/>
              <w:left w:type="dxa" w:w="80"/>
              <w:bottom w:type="dxa" w:w="40"/>
              <w:right w:type="dxa" w:w="80"/>
            </w:tcMar>
          </w:tcPr>
          <w:p>
            <w:r>
              <w:rPr>
                <w:rFonts w:ascii="Calibri" w:cs="Calibri" w:eastAsia="Calibri" w:hAnsi="Calibri"/>
                <w:b w:val="false"/>
                <w:bCs w:val="false"/>
                <w:color w:val="2D2D2D"/>
                <w:sz w:val="20"/>
                <w:szCs w:val="20"/>
              </w:rPr>
              <w:t xml:space="preserve">Cost price, floor price, margin % never quoted to customer</w:t>
            </w:r>
          </w:p>
        </w:tc>
        <w:tc>
          <w:tcPr>
            <w:tcW w:type="dxa" w:w="1600"/>
            <w:tcMar>
              <w:top w:type="dxa" w:w="40"/>
              <w:left w:type="dxa" w:w="80"/>
              <w:bottom w:type="dxa" w:w="40"/>
              <w:right w:type="dxa" w:w="80"/>
            </w:tcMar>
          </w:tcPr>
          <w:p>
            <w:r>
              <w:rPr>
                <w:rFonts w:ascii="Calibri" w:cs="Calibri" w:eastAsia="Calibri" w:hAnsi="Calibri"/>
                <w:b w:val="false"/>
                <w:bCs w:val="false"/>
                <w:color w:val="2D2D2D"/>
                <w:sz w:val="20"/>
                <w:szCs w:val="20"/>
              </w:rPr>
              <w:t xml:space="preserve">6</w:t>
            </w:r>
          </w:p>
        </w:tc>
      </w:tr>
      <w:tr>
        <w:tc>
          <w:tcPr>
            <w:tcW w:type="dxa" w:w="2600"/>
            <w:tcMar>
              <w:top w:type="dxa" w:w="40"/>
              <w:left w:type="dxa" w:w="80"/>
              <w:bottom w:type="dxa" w:w="40"/>
              <w:right w:type="dxa" w:w="80"/>
            </w:tcMar>
          </w:tcPr>
          <w:p>
            <w:r>
              <w:rPr>
                <w:rFonts w:ascii="Calibri" w:cs="Calibri" w:eastAsia="Calibri" w:hAnsi="Calibri"/>
                <w:b w:val="false"/>
                <w:bCs w:val="false"/>
                <w:color w:val="2D2D2D"/>
                <w:sz w:val="20"/>
                <w:szCs w:val="20"/>
              </w:rPr>
              <w:t xml:space="preserve">Merchant Audit Transparency</w:t>
            </w:r>
          </w:p>
        </w:tc>
        <w:tc>
          <w:tcPr>
            <w:tcW w:type="dxa" w:w="5400"/>
            <w:tcMar>
              <w:top w:type="dxa" w:w="40"/>
              <w:left w:type="dxa" w:w="80"/>
              <w:bottom w:type="dxa" w:w="40"/>
              <w:right w:type="dxa" w:w="80"/>
            </w:tcMar>
          </w:tcPr>
          <w:p>
            <w:r>
              <w:rPr>
                <w:rFonts w:ascii="Calibri" w:cs="Calibri" w:eastAsia="Calibri" w:hAnsi="Calibri"/>
                <w:b w:val="false"/>
                <w:bCs w:val="false"/>
                <w:color w:val="2D2D2D"/>
                <w:sz w:val="20"/>
                <w:szCs w:val="20"/>
              </w:rPr>
              <w:t xml:space="preserve">Internal reasoning fully documents margins and clearance strategy</w:t>
            </w:r>
          </w:p>
        </w:tc>
        <w:tc>
          <w:tcPr>
            <w:tcW w:type="dxa" w:w="1600"/>
            <w:tcMar>
              <w:top w:type="dxa" w:w="40"/>
              <w:left w:type="dxa" w:w="80"/>
              <w:bottom w:type="dxa" w:w="40"/>
              <w:right w:type="dxa" w:w="80"/>
            </w:tcMar>
          </w:tcPr>
          <w:p>
            <w:r>
              <w:rPr>
                <w:rFonts w:ascii="Calibri" w:cs="Calibri" w:eastAsia="Calibri" w:hAnsi="Calibri"/>
                <w:b w:val="false"/>
                <w:bCs w:val="false"/>
                <w:color w:val="2D2D2D"/>
                <w:sz w:val="20"/>
                <w:szCs w:val="20"/>
              </w:rPr>
              <w:t xml:space="preserve">5</w:t>
            </w:r>
          </w:p>
        </w:tc>
      </w:tr>
    </w:tbl>
    <w:p>
      <w:pPr>
        <w:pStyle w:val="Heading2"/>
        <w:spacing w:after="150" w:before="300"/>
      </w:pPr>
      <w:r>
        <w:rPr>
          <w:rFonts w:ascii="Calibri" w:cs="Calibri" w:eastAsia="Calibri" w:hAnsi="Calibri"/>
          <w:b/>
          <w:bCs/>
          <w:color w:val="1A3C6E"/>
        </w:rPr>
        <w:t xml:space="preserve">5.3 Guardrail Safety &amp; Merchant Escalation (25 pts)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gridCol w:w="1600"/>
      </w:tblGrid>
      <w:tr>
        <w:tc>
          <w:tcPr>
            <w:tcW w:type="dxa" w:w="2600"/>
            <w:shd w:fill="1A3C6E" w:val="clear"/>
            <w:tcMar>
              <w:top w:type="dxa" w:w="40"/>
              <w:left w:type="dxa" w:w="80"/>
              <w:bottom w:type="dxa" w:w="40"/>
              <w:right w:type="dxa" w:w="80"/>
            </w:tcMar>
          </w:tcPr>
          <w:p>
            <w:r>
              <w:rPr>
                <w:rFonts w:ascii="Calibri" w:cs="Calibri" w:eastAsia="Calibri" w:hAnsi="Calibri"/>
                <w:b/>
                <w:bCs/>
                <w:color w:val="FFFFFF"/>
                <w:sz w:val="20"/>
                <w:szCs w:val="20"/>
              </w:rPr>
              <w:t xml:space="preserve">Criteria</w:t>
            </w:r>
          </w:p>
        </w:tc>
        <w:tc>
          <w:tcPr>
            <w:tcW w:type="dxa" w:w="5400"/>
            <w:shd w:fill="1A3C6E" w:val="clear"/>
            <w:tcMar>
              <w:top w:type="dxa" w:w="40"/>
              <w:left w:type="dxa" w:w="80"/>
              <w:bottom w:type="dxa" w:w="40"/>
              <w:right w:type="dxa" w:w="80"/>
            </w:tcMar>
          </w:tcPr>
          <w:p>
            <w:r>
              <w:rPr>
                <w:rFonts w:ascii="Calibri" w:cs="Calibri" w:eastAsia="Calibri" w:hAnsi="Calibri"/>
                <w:b/>
                <w:bCs/>
                <w:color w:val="FFFFFF"/>
                <w:sz w:val="20"/>
                <w:szCs w:val="20"/>
              </w:rPr>
              <w:t xml:space="preserve">Benchmark</w:t>
            </w:r>
          </w:p>
        </w:tc>
        <w:tc>
          <w:tcPr>
            <w:tcW w:type="dxa" w:w="1600"/>
            <w:shd w:fill="1A3C6E" w:val="clear"/>
            <w:tcMar>
              <w:top w:type="dxa" w:w="40"/>
              <w:left w:type="dxa" w:w="80"/>
              <w:bottom w:type="dxa" w:w="40"/>
              <w:right w:type="dxa" w:w="80"/>
            </w:tcMar>
          </w:tcPr>
          <w:p>
            <w:r>
              <w:rPr>
                <w:rFonts w:ascii="Calibri" w:cs="Calibri" w:eastAsia="Calibri" w:hAnsi="Calibri"/>
                <w:b/>
                <w:bCs/>
                <w:color w:val="FFFFFF"/>
                <w:sz w:val="20"/>
                <w:szCs w:val="20"/>
              </w:rPr>
              <w:t xml:space="preserve">Max</w:t>
            </w:r>
          </w:p>
        </w:tc>
      </w:tr>
      <w:tr>
        <w:tc>
          <w:tcPr>
            <w:tcW w:type="dxa" w:w="2600"/>
            <w:tcMar>
              <w:top w:type="dxa" w:w="40"/>
              <w:left w:type="dxa" w:w="80"/>
              <w:bottom w:type="dxa" w:w="40"/>
              <w:right w:type="dxa" w:w="80"/>
            </w:tcMar>
          </w:tcPr>
          <w:p>
            <w:r>
              <w:rPr>
                <w:rFonts w:ascii="Calibri" w:cs="Calibri" w:eastAsia="Calibri" w:hAnsi="Calibri"/>
                <w:b w:val="false"/>
                <w:bCs w:val="false"/>
                <w:color w:val="2D2D2D"/>
                <w:sz w:val="20"/>
                <w:szCs w:val="20"/>
              </w:rPr>
              <w:t xml:space="preserve">Margin Floor Clamping</w:t>
            </w:r>
          </w:p>
        </w:tc>
        <w:tc>
          <w:tcPr>
            <w:tcW w:type="dxa" w:w="5400"/>
            <w:tcMar>
              <w:top w:type="dxa" w:w="40"/>
              <w:left w:type="dxa" w:w="80"/>
              <w:bottom w:type="dxa" w:w="40"/>
              <w:right w:type="dxa" w:w="80"/>
            </w:tcMar>
          </w:tcPr>
          <w:p>
            <w:r>
              <w:rPr>
                <w:rFonts w:ascii="Calibri" w:cs="Calibri" w:eastAsia="Calibri" w:hAnsi="Calibri"/>
                <w:b w:val="false"/>
                <w:bCs w:val="false"/>
                <w:color w:val="2D2D2D"/>
                <w:sz w:val="20"/>
                <w:szCs w:val="20"/>
              </w:rPr>
              <w:t xml:space="preserve">Pre-LLM and Post-LLM guardrails block counter-offers below margin floor</w:t>
            </w:r>
          </w:p>
        </w:tc>
        <w:tc>
          <w:tcPr>
            <w:tcW w:type="dxa" w:w="1600"/>
            <w:tcMar>
              <w:top w:type="dxa" w:w="40"/>
              <w:left w:type="dxa" w:w="80"/>
              <w:bottom w:type="dxa" w:w="40"/>
              <w:right w:type="dxa" w:w="80"/>
            </w:tcMar>
          </w:tcPr>
          <w:p>
            <w:r>
              <w:rPr>
                <w:rFonts w:ascii="Calibri" w:cs="Calibri" w:eastAsia="Calibri" w:hAnsi="Calibri"/>
                <w:b w:val="false"/>
                <w:bCs w:val="false"/>
                <w:color w:val="2D2D2D"/>
                <w:sz w:val="20"/>
                <w:szCs w:val="20"/>
              </w:rPr>
              <w:t xml:space="preserve">8</w:t>
            </w:r>
          </w:p>
        </w:tc>
      </w:tr>
      <w:tr>
        <w:tc>
          <w:tcPr>
            <w:tcW w:type="dxa" w:w="2600"/>
            <w:tcMar>
              <w:top w:type="dxa" w:w="40"/>
              <w:left w:type="dxa" w:w="80"/>
              <w:bottom w:type="dxa" w:w="40"/>
              <w:right w:type="dxa" w:w="80"/>
            </w:tcMar>
          </w:tcPr>
          <w:p>
            <w:r>
              <w:rPr>
                <w:rFonts w:ascii="Calibri" w:cs="Calibri" w:eastAsia="Calibri" w:hAnsi="Calibri"/>
                <w:b w:val="false"/>
                <w:bCs w:val="false"/>
                <w:color w:val="2D2D2D"/>
                <w:sz w:val="20"/>
                <w:szCs w:val="20"/>
              </w:rPr>
              <w:t xml:space="preserve">Safety Stock Buffer Escalation</w:t>
            </w:r>
          </w:p>
        </w:tc>
        <w:tc>
          <w:tcPr>
            <w:tcW w:type="dxa" w:w="5400"/>
            <w:tcMar>
              <w:top w:type="dxa" w:w="40"/>
              <w:left w:type="dxa" w:w="80"/>
              <w:bottom w:type="dxa" w:w="40"/>
              <w:right w:type="dxa" w:w="80"/>
            </w:tcMar>
          </w:tcPr>
          <w:p>
            <w:r>
              <w:rPr>
                <w:rFonts w:ascii="Calibri" w:cs="Calibri" w:eastAsia="Calibri" w:hAnsi="Calibri"/>
                <w:b w:val="false"/>
                <w:bCs w:val="false"/>
                <w:color w:val="2D2D2D"/>
                <w:sz w:val="20"/>
                <w:szCs w:val="20"/>
              </w:rPr>
              <w:t xml:space="preserve">Orders leaving &lt; 50 reserve units trigger PENDING_APPROVAL</w:t>
            </w:r>
          </w:p>
        </w:tc>
        <w:tc>
          <w:tcPr>
            <w:tcW w:type="dxa" w:w="1600"/>
            <w:tcMar>
              <w:top w:type="dxa" w:w="40"/>
              <w:left w:type="dxa" w:w="80"/>
              <w:bottom w:type="dxa" w:w="40"/>
              <w:right w:type="dxa" w:w="80"/>
            </w:tcMar>
          </w:tcPr>
          <w:p>
            <w:r>
              <w:rPr>
                <w:rFonts w:ascii="Calibri" w:cs="Calibri" w:eastAsia="Calibri" w:hAnsi="Calibri"/>
                <w:b w:val="false"/>
                <w:bCs w:val="false"/>
                <w:color w:val="2D2D2D"/>
                <w:sz w:val="20"/>
                <w:szCs w:val="20"/>
              </w:rPr>
              <w:t xml:space="preserve">7</w:t>
            </w:r>
          </w:p>
        </w:tc>
      </w:tr>
      <w:tr>
        <w:tc>
          <w:tcPr>
            <w:tcW w:type="dxa" w:w="2600"/>
            <w:tcMar>
              <w:top w:type="dxa" w:w="40"/>
              <w:left w:type="dxa" w:w="80"/>
              <w:bottom w:type="dxa" w:w="40"/>
              <w:right w:type="dxa" w:w="80"/>
            </w:tcMar>
          </w:tcPr>
          <w:p>
            <w:r>
              <w:rPr>
                <w:rFonts w:ascii="Calibri" w:cs="Calibri" w:eastAsia="Calibri" w:hAnsi="Calibri"/>
                <w:b w:val="false"/>
                <w:bCs w:val="false"/>
                <w:color w:val="2D2D2D"/>
                <w:sz w:val="20"/>
                <w:szCs w:val="20"/>
              </w:rPr>
              <w:t xml:space="preserve">Round Limit Enforcement</w:t>
            </w:r>
          </w:p>
        </w:tc>
        <w:tc>
          <w:tcPr>
            <w:tcW w:type="dxa" w:w="5400"/>
            <w:tcMar>
              <w:top w:type="dxa" w:w="40"/>
              <w:left w:type="dxa" w:w="80"/>
              <w:bottom w:type="dxa" w:w="40"/>
              <w:right w:type="dxa" w:w="80"/>
            </w:tcMar>
          </w:tcPr>
          <w:p>
            <w:r>
              <w:rPr>
                <w:rFonts w:ascii="Calibri" w:cs="Calibri" w:eastAsia="Calibri" w:hAnsi="Calibri"/>
                <w:b w:val="false"/>
                <w:bCs w:val="false"/>
                <w:color w:val="2D2D2D"/>
                <w:sz w:val="20"/>
                <w:szCs w:val="20"/>
              </w:rPr>
              <w:t xml:space="preserve">Round 5 of 5 presents FINAL_OFFER with no further negotiation</w:t>
            </w:r>
          </w:p>
        </w:tc>
        <w:tc>
          <w:tcPr>
            <w:tcW w:type="dxa" w:w="1600"/>
            <w:tcMar>
              <w:top w:type="dxa" w:w="40"/>
              <w:left w:type="dxa" w:w="80"/>
              <w:bottom w:type="dxa" w:w="40"/>
              <w:right w:type="dxa" w:w="80"/>
            </w:tcMar>
          </w:tcPr>
          <w:p>
            <w:r>
              <w:rPr>
                <w:rFonts w:ascii="Calibri" w:cs="Calibri" w:eastAsia="Calibri" w:hAnsi="Calibri"/>
                <w:b w:val="false"/>
                <w:bCs w:val="false"/>
                <w:color w:val="2D2D2D"/>
                <w:sz w:val="20"/>
                <w:szCs w:val="20"/>
              </w:rPr>
              <w:t xml:space="preserve">5</w:t>
            </w:r>
          </w:p>
        </w:tc>
      </w:tr>
      <w:tr>
        <w:tc>
          <w:tcPr>
            <w:tcW w:type="dxa" w:w="2600"/>
            <w:tcMar>
              <w:top w:type="dxa" w:w="40"/>
              <w:left w:type="dxa" w:w="80"/>
              <w:bottom w:type="dxa" w:w="40"/>
              <w:right w:type="dxa" w:w="80"/>
            </w:tcMar>
          </w:tcPr>
          <w:p>
            <w:r>
              <w:rPr>
                <w:rFonts w:ascii="Calibri" w:cs="Calibri" w:eastAsia="Calibri" w:hAnsi="Calibri"/>
                <w:b w:val="false"/>
                <w:bCs w:val="false"/>
                <w:color w:val="2D2D2D"/>
                <w:sz w:val="20"/>
                <w:szCs w:val="20"/>
              </w:rPr>
              <w:t xml:space="preserve">Merchant Resolution Flow</w:t>
            </w:r>
          </w:p>
        </w:tc>
        <w:tc>
          <w:tcPr>
            <w:tcW w:type="dxa" w:w="5400"/>
            <w:tcMar>
              <w:top w:type="dxa" w:w="40"/>
              <w:left w:type="dxa" w:w="80"/>
              <w:bottom w:type="dxa" w:w="40"/>
              <w:right w:type="dxa" w:w="80"/>
            </w:tcMar>
          </w:tcPr>
          <w:p>
            <w:r>
              <w:rPr>
                <w:rFonts w:ascii="Calibri" w:cs="Calibri" w:eastAsia="Calibri" w:hAnsi="Calibri"/>
                <w:b w:val="false"/>
                <w:bCs w:val="false"/>
                <w:color w:val="2D2D2D"/>
                <w:sz w:val="20"/>
                <w:szCs w:val="20"/>
              </w:rPr>
              <w:t xml:space="preserve">Merchant desk approves, counters, or rejects with correct state update</w:t>
            </w:r>
          </w:p>
        </w:tc>
        <w:tc>
          <w:tcPr>
            <w:tcW w:type="dxa" w:w="1600"/>
            <w:tcMar>
              <w:top w:type="dxa" w:w="40"/>
              <w:left w:type="dxa" w:w="80"/>
              <w:bottom w:type="dxa" w:w="40"/>
              <w:right w:type="dxa" w:w="80"/>
            </w:tcMar>
          </w:tcPr>
          <w:p>
            <w:r>
              <w:rPr>
                <w:rFonts w:ascii="Calibri" w:cs="Calibri" w:eastAsia="Calibri" w:hAnsi="Calibri"/>
                <w:b w:val="false"/>
                <w:bCs w:val="false"/>
                <w:color w:val="2D2D2D"/>
                <w:sz w:val="20"/>
                <w:szCs w:val="20"/>
              </w:rPr>
              <w:t xml:space="preserve">5</w:t>
            </w:r>
          </w:p>
        </w:tc>
      </w:tr>
    </w:tbl>
    <w:p>
      <w:pPr>
        <w:pStyle w:val="Heading2"/>
        <w:spacing w:after="150" w:before="300"/>
      </w:pPr>
      <w:r>
        <w:rPr>
          <w:rFonts w:ascii="Calibri" w:cs="Calibri" w:eastAsia="Calibri" w:hAnsi="Calibri"/>
          <w:b/>
          <w:bCs/>
          <w:color w:val="1A3C6E"/>
        </w:rPr>
        <w:t xml:space="preserve">5.4 System Architecture, Audit &amp; Settlement (25 pts)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gridCol w:w="1600"/>
      </w:tblGrid>
      <w:tr>
        <w:tc>
          <w:tcPr>
            <w:tcW w:type="dxa" w:w="2600"/>
            <w:shd w:fill="1A3C6E" w:val="clear"/>
            <w:tcMar>
              <w:top w:type="dxa" w:w="40"/>
              <w:left w:type="dxa" w:w="80"/>
              <w:bottom w:type="dxa" w:w="40"/>
              <w:right w:type="dxa" w:w="80"/>
            </w:tcMar>
          </w:tcPr>
          <w:p>
            <w:r>
              <w:rPr>
                <w:rFonts w:ascii="Calibri" w:cs="Calibri" w:eastAsia="Calibri" w:hAnsi="Calibri"/>
                <w:b/>
                <w:bCs/>
                <w:color w:val="FFFFFF"/>
                <w:sz w:val="20"/>
                <w:szCs w:val="20"/>
              </w:rPr>
              <w:t xml:space="preserve">Criteria</w:t>
            </w:r>
          </w:p>
        </w:tc>
        <w:tc>
          <w:tcPr>
            <w:tcW w:type="dxa" w:w="5400"/>
            <w:shd w:fill="1A3C6E" w:val="clear"/>
            <w:tcMar>
              <w:top w:type="dxa" w:w="40"/>
              <w:left w:type="dxa" w:w="80"/>
              <w:bottom w:type="dxa" w:w="40"/>
              <w:right w:type="dxa" w:w="80"/>
            </w:tcMar>
          </w:tcPr>
          <w:p>
            <w:r>
              <w:rPr>
                <w:rFonts w:ascii="Calibri" w:cs="Calibri" w:eastAsia="Calibri" w:hAnsi="Calibri"/>
                <w:b/>
                <w:bCs/>
                <w:color w:val="FFFFFF"/>
                <w:sz w:val="20"/>
                <w:szCs w:val="20"/>
              </w:rPr>
              <w:t xml:space="preserve">Benchmark</w:t>
            </w:r>
          </w:p>
        </w:tc>
        <w:tc>
          <w:tcPr>
            <w:tcW w:type="dxa" w:w="1600"/>
            <w:shd w:fill="1A3C6E" w:val="clear"/>
            <w:tcMar>
              <w:top w:type="dxa" w:w="40"/>
              <w:left w:type="dxa" w:w="80"/>
              <w:bottom w:type="dxa" w:w="40"/>
              <w:right w:type="dxa" w:w="80"/>
            </w:tcMar>
          </w:tcPr>
          <w:p>
            <w:r>
              <w:rPr>
                <w:rFonts w:ascii="Calibri" w:cs="Calibri" w:eastAsia="Calibri" w:hAnsi="Calibri"/>
                <w:b/>
                <w:bCs/>
                <w:color w:val="FFFFFF"/>
                <w:sz w:val="20"/>
                <w:szCs w:val="20"/>
              </w:rPr>
              <w:t xml:space="preserve">Max</w:t>
            </w:r>
          </w:p>
        </w:tc>
      </w:tr>
      <w:tr>
        <w:tc>
          <w:tcPr>
            <w:tcW w:type="dxa" w:w="2600"/>
            <w:tcMar>
              <w:top w:type="dxa" w:w="40"/>
              <w:left w:type="dxa" w:w="80"/>
              <w:bottom w:type="dxa" w:w="40"/>
              <w:right w:type="dxa" w:w="80"/>
            </w:tcMar>
          </w:tcPr>
          <w:p>
            <w:r>
              <w:rPr>
                <w:rFonts w:ascii="Calibri" w:cs="Calibri" w:eastAsia="Calibri" w:hAnsi="Calibri"/>
                <w:b w:val="false"/>
                <w:bCs w:val="false"/>
                <w:color w:val="2D2D2D"/>
                <w:sz w:val="20"/>
                <w:szCs w:val="20"/>
              </w:rPr>
              <w:t xml:space="preserve">FSM Legal State Transitions</w:t>
            </w:r>
          </w:p>
        </w:tc>
        <w:tc>
          <w:tcPr>
            <w:tcW w:type="dxa" w:w="5400"/>
            <w:tcMar>
              <w:top w:type="dxa" w:w="40"/>
              <w:left w:type="dxa" w:w="80"/>
              <w:bottom w:type="dxa" w:w="40"/>
              <w:right w:type="dxa" w:w="80"/>
            </w:tcMar>
          </w:tcPr>
          <w:p>
            <w:r>
              <w:rPr>
                <w:rFonts w:ascii="Calibri" w:cs="Calibri" w:eastAsia="Calibri" w:hAnsi="Calibri"/>
                <w:b w:val="false"/>
                <w:bCs w:val="false"/>
                <w:color w:val="2D2D2D"/>
                <w:sz w:val="20"/>
                <w:szCs w:val="20"/>
              </w:rPr>
              <w:t xml:space="preserve">No illegal transitions; terminal states lock session permanently</w:t>
            </w:r>
          </w:p>
        </w:tc>
        <w:tc>
          <w:tcPr>
            <w:tcW w:type="dxa" w:w="1600"/>
            <w:tcMar>
              <w:top w:type="dxa" w:w="40"/>
              <w:left w:type="dxa" w:w="80"/>
              <w:bottom w:type="dxa" w:w="40"/>
              <w:right w:type="dxa" w:w="80"/>
            </w:tcMar>
          </w:tcPr>
          <w:p>
            <w:r>
              <w:rPr>
                <w:rFonts w:ascii="Calibri" w:cs="Calibri" w:eastAsia="Calibri" w:hAnsi="Calibri"/>
                <w:b w:val="false"/>
                <w:bCs w:val="false"/>
                <w:color w:val="2D2D2D"/>
                <w:sz w:val="20"/>
                <w:szCs w:val="20"/>
              </w:rPr>
              <w:t xml:space="preserve">7</w:t>
            </w:r>
          </w:p>
        </w:tc>
      </w:tr>
      <w:tr>
        <w:tc>
          <w:tcPr>
            <w:tcW w:type="dxa" w:w="2600"/>
            <w:tcMar>
              <w:top w:type="dxa" w:w="40"/>
              <w:left w:type="dxa" w:w="80"/>
              <w:bottom w:type="dxa" w:w="40"/>
              <w:right w:type="dxa" w:w="80"/>
            </w:tcMar>
          </w:tcPr>
          <w:p>
            <w:r>
              <w:rPr>
                <w:rFonts w:ascii="Calibri" w:cs="Calibri" w:eastAsia="Calibri" w:hAnsi="Calibri"/>
                <w:b w:val="false"/>
                <w:bCs w:val="false"/>
                <w:color w:val="2D2D2D"/>
                <w:sz w:val="20"/>
                <w:szCs w:val="20"/>
              </w:rPr>
              <w:t xml:space="preserve">SHA-256 Audit Chain</w:t>
            </w:r>
          </w:p>
        </w:tc>
        <w:tc>
          <w:tcPr>
            <w:tcW w:type="dxa" w:w="5400"/>
            <w:tcMar>
              <w:top w:type="dxa" w:w="40"/>
              <w:left w:type="dxa" w:w="80"/>
              <w:bottom w:type="dxa" w:w="40"/>
              <w:right w:type="dxa" w:w="80"/>
            </w:tcMar>
          </w:tcPr>
          <w:p>
            <w:r>
              <w:rPr>
                <w:rFonts w:ascii="Calibri" w:cs="Calibri" w:eastAsia="Calibri" w:hAnsi="Calibri"/>
                <w:b w:val="false"/>
                <w:bCs w:val="false"/>
                <w:color w:val="2D2D2D"/>
                <w:sz w:val="20"/>
                <w:szCs w:val="20"/>
              </w:rPr>
              <w:t xml:space="preserve">Every event hashed and chained; /verify confirms integrity</w:t>
            </w:r>
          </w:p>
        </w:tc>
        <w:tc>
          <w:tcPr>
            <w:tcW w:type="dxa" w:w="1600"/>
            <w:tcMar>
              <w:top w:type="dxa" w:w="40"/>
              <w:left w:type="dxa" w:w="80"/>
              <w:bottom w:type="dxa" w:w="40"/>
              <w:right w:type="dxa" w:w="80"/>
            </w:tcMar>
          </w:tcPr>
          <w:p>
            <w:r>
              <w:rPr>
                <w:rFonts w:ascii="Calibri" w:cs="Calibri" w:eastAsia="Calibri" w:hAnsi="Calibri"/>
                <w:b w:val="false"/>
                <w:bCs w:val="false"/>
                <w:color w:val="2D2D2D"/>
                <w:sz w:val="20"/>
                <w:szCs w:val="20"/>
              </w:rPr>
              <w:t xml:space="preserve">7</w:t>
            </w:r>
          </w:p>
        </w:tc>
      </w:tr>
      <w:tr>
        <w:tc>
          <w:tcPr>
            <w:tcW w:type="dxa" w:w="2600"/>
            <w:tcMar>
              <w:top w:type="dxa" w:w="40"/>
              <w:left w:type="dxa" w:w="80"/>
              <w:bottom w:type="dxa" w:w="40"/>
              <w:right w:type="dxa" w:w="80"/>
            </w:tcMar>
          </w:tcPr>
          <w:p>
            <w:r>
              <w:rPr>
                <w:rFonts w:ascii="Calibri" w:cs="Calibri" w:eastAsia="Calibri" w:hAnsi="Calibri"/>
                <w:b w:val="false"/>
                <w:bCs w:val="false"/>
                <w:color w:val="2D2D2D"/>
                <w:sz w:val="20"/>
                <w:szCs w:val="20"/>
              </w:rPr>
              <w:t xml:space="preserve">Razorpay Settlement</w:t>
            </w:r>
          </w:p>
        </w:tc>
        <w:tc>
          <w:tcPr>
            <w:tcW w:type="dxa" w:w="5400"/>
            <w:tcMar>
              <w:top w:type="dxa" w:w="40"/>
              <w:left w:type="dxa" w:w="80"/>
              <w:bottom w:type="dxa" w:w="40"/>
              <w:right w:type="dxa" w:w="80"/>
            </w:tcMar>
          </w:tcPr>
          <w:p>
            <w:r>
              <w:rPr>
                <w:rFonts w:ascii="Calibri" w:cs="Calibri" w:eastAsia="Calibri" w:hAnsi="Calibri"/>
                <w:b w:val="false"/>
                <w:bCs w:val="false"/>
                <w:color w:val="2D2D2D"/>
                <w:sz w:val="20"/>
                <w:szCs w:val="20"/>
              </w:rPr>
              <w:t xml:space="preserve">AGREED renders checkout with exact paise amount and negotiated quantity</w:t>
            </w:r>
          </w:p>
        </w:tc>
        <w:tc>
          <w:tcPr>
            <w:tcW w:type="dxa" w:w="1600"/>
            <w:tcMar>
              <w:top w:type="dxa" w:w="40"/>
              <w:left w:type="dxa" w:w="80"/>
              <w:bottom w:type="dxa" w:w="40"/>
              <w:right w:type="dxa" w:w="80"/>
            </w:tcMar>
          </w:tcPr>
          <w:p>
            <w:r>
              <w:rPr>
                <w:rFonts w:ascii="Calibri" w:cs="Calibri" w:eastAsia="Calibri" w:hAnsi="Calibri"/>
                <w:b w:val="false"/>
                <w:bCs w:val="false"/>
                <w:color w:val="2D2D2D"/>
                <w:sz w:val="20"/>
                <w:szCs w:val="20"/>
              </w:rPr>
              <w:t xml:space="preserve">6</w:t>
            </w:r>
          </w:p>
        </w:tc>
      </w:tr>
      <w:tr>
        <w:tc>
          <w:tcPr>
            <w:tcW w:type="dxa" w:w="2600"/>
            <w:tcMar>
              <w:top w:type="dxa" w:w="40"/>
              <w:left w:type="dxa" w:w="80"/>
              <w:bottom w:type="dxa" w:w="40"/>
              <w:right w:type="dxa" w:w="80"/>
            </w:tcMar>
          </w:tcPr>
          <w:p>
            <w:r>
              <w:rPr>
                <w:rFonts w:ascii="Calibri" w:cs="Calibri" w:eastAsia="Calibri" w:hAnsi="Calibri"/>
                <w:b w:val="false"/>
                <w:bCs w:val="false"/>
                <w:color w:val="2D2D2D"/>
                <w:sz w:val="20"/>
                <w:szCs w:val="20"/>
              </w:rPr>
              <w:t xml:space="preserve">Streamlit Frontend</w:t>
            </w:r>
          </w:p>
        </w:tc>
        <w:tc>
          <w:tcPr>
            <w:tcW w:type="dxa" w:w="5400"/>
            <w:tcMar>
              <w:top w:type="dxa" w:w="40"/>
              <w:left w:type="dxa" w:w="80"/>
              <w:bottom w:type="dxa" w:w="40"/>
              <w:right w:type="dxa" w:w="80"/>
            </w:tcMar>
          </w:tcPr>
          <w:p>
            <w:r>
              <w:rPr>
                <w:rFonts w:ascii="Calibri" w:cs="Calibri" w:eastAsia="Calibri" w:hAnsi="Calibri"/>
                <w:b w:val="false"/>
                <w:bCs w:val="false"/>
                <w:color w:val="2D2D2D"/>
                <w:sz w:val="20"/>
                <w:szCs w:val="20"/>
              </w:rPr>
              <w:t xml:space="preserve">H2A, A2A, Merchant Desk, and Replay tabs operate seamlessly</w:t>
            </w:r>
          </w:p>
        </w:tc>
        <w:tc>
          <w:tcPr>
            <w:tcW w:type="dxa" w:w="1600"/>
            <w:tcMar>
              <w:top w:type="dxa" w:w="40"/>
              <w:left w:type="dxa" w:w="80"/>
              <w:bottom w:type="dxa" w:w="40"/>
              <w:right w:type="dxa" w:w="80"/>
            </w:tcMar>
          </w:tcPr>
          <w:p>
            <w:r>
              <w:rPr>
                <w:rFonts w:ascii="Calibri" w:cs="Calibri" w:eastAsia="Calibri" w:hAnsi="Calibri"/>
                <w:b w:val="false"/>
                <w:bCs w:val="false"/>
                <w:color w:val="2D2D2D"/>
                <w:sz w:val="20"/>
                <w:szCs w:val="20"/>
              </w:rPr>
              <w:t xml:space="preserve">5</w:t>
            </w:r>
          </w:p>
        </w:tc>
      </w:tr>
    </w:tbl>
    <w:p>
      <w:pPr>
        <w:spacing w:before="200"/>
      </w:pPr>
    </w:p>
    <w:p>
      <w:pPr>
        <w:pStyle w:val="Heading2"/>
        <w:spacing w:after="150" w:before="300"/>
      </w:pPr>
      <w:r>
        <w:rPr>
          <w:rFonts w:ascii="Calibri" w:cs="Calibri" w:eastAsia="Calibri" w:hAnsi="Calibri"/>
          <w:b/>
          <w:bCs/>
          <w:color w:val="1A3C6E"/>
        </w:rPr>
        <w:t xml:space="preserve">5.5 Golden Path Test Cases</w:t>
      </w:r>
    </w:p>
    <w:p>
      <w:pPr>
        <w:spacing w:after="120" w:line="276"/>
      </w:pPr>
      <w:r>
        <w:rPr>
          <w:rFonts w:ascii="Calibri" w:cs="Calibri" w:eastAsia="Calibri" w:hAnsi="Calibri"/>
          <w:color w:val="2D2D2D"/>
          <w:sz w:val="22"/>
          <w:szCs w:val="22"/>
        </w:rPr>
        <w:t xml:space="preserve">Five test cases exercise the complete system:</w:t>
      </w:r>
    </w:p>
    <w:p>
      <w:pPr>
        <w:spacing w:after="80" w:line="276"/>
        <w:ind w:left="360"/>
      </w:pPr>
      <w:r>
        <w:rPr>
          <w:rFonts w:ascii="Calibri" w:cs="Calibri" w:eastAsia="Calibri" w:hAnsi="Calibri"/>
          <w:color w:val="2D2D2D"/>
          <w:sz w:val="22"/>
          <w:szCs w:val="22"/>
        </w:rPr>
        <w:t xml:space="preserve">•  Test Case 1 — Standard Wholesale Multi-Round Bargain: 60 units of Premium Cotton Tee, buyer opens at ₹430, seller anchors at ₹465-475, deal closes at ₹460 with Razorpay checkout at ₹27,600.</w:t>
      </w:r>
    </w:p>
    <w:p>
      <w:pPr>
        <w:spacing w:after="80" w:line="276"/>
        <w:ind w:left="360"/>
      </w:pPr>
      <w:r>
        <w:rPr>
          <w:rFonts w:ascii="Calibri" w:cs="Calibri" w:eastAsia="Calibri" w:hAnsi="Calibri"/>
          <w:color w:val="2D2D2D"/>
          <w:sz w:val="22"/>
          <w:szCs w:val="22"/>
        </w:rPr>
        <w:t xml:space="preserve">•  Test Case 2 — Safety Buffer Deficit &amp; Merchant Escalation: 45 units of ANC Headphones against 80 stock with 50-unit reserve. Buffer breach triggers PENDING_APPROVAL without leaking stock counts. Merchant approves, checkout activates at ₹472,500.</w:t>
      </w:r>
    </w:p>
    <w:p>
      <w:pPr>
        <w:spacing w:after="80" w:line="276"/>
        <w:ind w:left="360"/>
      </w:pPr>
      <w:r>
        <w:rPr>
          <w:rFonts w:ascii="Calibri" w:cs="Calibri" w:eastAsia="Calibri" w:hAnsi="Calibri"/>
          <w:color w:val="2D2D2D"/>
          <w:sz w:val="22"/>
          <w:szCs w:val="22"/>
        </w:rPr>
        <w:t xml:space="preserve">•  Test Case 3 — Extreme Lowball &amp; Floor Defense: Leather jacket at ₹3,000 (below ₹4,800 cost). Pre-LLM guardrail flags violation, post-LLM clamps counter at or above ₹6,200 margin floor. Agent proposes volume upsell.</w:t>
      </w:r>
    </w:p>
    <w:p>
      <w:pPr>
        <w:spacing w:after="80" w:line="276"/>
        <w:ind w:left="360"/>
      </w:pPr>
      <w:r>
        <w:rPr>
          <w:rFonts w:ascii="Calibri" w:cs="Calibri" w:eastAsia="Calibri" w:hAnsi="Calibri"/>
          <w:color w:val="2D2D2D"/>
          <w:sz w:val="22"/>
          <w:szCs w:val="22"/>
        </w:rPr>
        <w:t xml:space="preserve">•  Test Case 4 — Commercial Deadlock &amp; Clean Walk-Away: Buyer declines, session transitions to REJECTED, checkout blocked with 400 error, audit chain sealed.</w:t>
      </w:r>
    </w:p>
    <w:p>
      <w:pPr>
        <w:spacing w:after="80" w:line="276"/>
        <w:ind w:left="360"/>
      </w:pPr>
      <w:r>
        <w:rPr>
          <w:rFonts w:ascii="Calibri" w:cs="Calibri" w:eastAsia="Calibri" w:hAnsi="Calibri"/>
          <w:color w:val="2D2D2D"/>
          <w:sz w:val="22"/>
          <w:szCs w:val="22"/>
        </w:rPr>
        <w:t xml:space="preserve">•  Test Case 5 — Buyer Agent Total Outlay Defense: Seller upsells 50 units at ₹320 (₹16,000 total) against ₹12,600 budget. Buyer rejects acceptance, counters with 35-39 units at ₹320 within budget.</w:t>
      </w:r>
    </w:p>
    <w:p>
      <w:r>
        <w:br w:type="page"/>
      </w:r>
    </w:p>
    <w:p>
      <w:pPr>
        <w:pStyle w:val="Heading1"/>
        <w:spacing w:after="150" w:before="300"/>
      </w:pPr>
      <w:r>
        <w:rPr>
          <w:rFonts w:ascii="Calibri" w:cs="Calibri" w:eastAsia="Calibri" w:hAnsi="Calibri"/>
          <w:b/>
          <w:bCs/>
          <w:color w:val="1A3C6E"/>
        </w:rPr>
        <w:t xml:space="preserve">6. Installation &amp; Quickstart</w:t>
      </w:r>
    </w:p>
    <w:p>
      <w:pPr>
        <w:pStyle w:val="Heading2"/>
        <w:spacing w:after="150" w:before="300"/>
      </w:pPr>
      <w:r>
        <w:rPr>
          <w:rFonts w:ascii="Calibri" w:cs="Calibri" w:eastAsia="Calibri" w:hAnsi="Calibri"/>
          <w:b/>
          <w:bCs/>
          <w:color w:val="1A3C6E"/>
        </w:rPr>
        <w:t xml:space="preserve">6.1 Prerequisites</w:t>
      </w:r>
    </w:p>
    <w:p>
      <w:pPr>
        <w:spacing w:after="80" w:line="276"/>
        <w:ind w:left="360"/>
      </w:pPr>
      <w:r>
        <w:rPr>
          <w:rFonts w:ascii="Calibri" w:cs="Calibri" w:eastAsia="Calibri" w:hAnsi="Calibri"/>
          <w:color w:val="2D2D2D"/>
          <w:sz w:val="22"/>
          <w:szCs w:val="22"/>
        </w:rPr>
        <w:t xml:space="preserve">•  Python 3.10+ (tested on 3.11, 3.12, 3.13)</w:t>
      </w:r>
    </w:p>
    <w:p>
      <w:pPr>
        <w:spacing w:after="80" w:line="276"/>
        <w:ind w:left="360"/>
      </w:pPr>
      <w:r>
        <w:rPr>
          <w:rFonts w:ascii="Calibri" w:cs="Calibri" w:eastAsia="Calibri" w:hAnsi="Calibri"/>
          <w:color w:val="2D2D2D"/>
          <w:sz w:val="22"/>
          <w:szCs w:val="22"/>
        </w:rPr>
        <w:t xml:space="preserve">•  Groq API Key for Llama-3 / GPT-OSS inference</w:t>
      </w:r>
    </w:p>
    <w:p>
      <w:pPr>
        <w:spacing w:after="80" w:line="276"/>
        <w:ind w:left="360"/>
      </w:pPr>
      <w:r>
        <w:rPr>
          <w:rFonts w:ascii="Calibri" w:cs="Calibri" w:eastAsia="Calibri" w:hAnsi="Calibri"/>
          <w:color w:val="2D2D2D"/>
          <w:sz w:val="22"/>
          <w:szCs w:val="22"/>
        </w:rPr>
        <w:t xml:space="preserve">•  Supabase account and database (InMemory fallback included)</w:t>
      </w:r>
    </w:p>
    <w:p>
      <w:pPr>
        <w:spacing w:after="80" w:line="276"/>
        <w:ind w:left="360"/>
      </w:pPr>
      <w:r>
        <w:rPr>
          <w:rFonts w:ascii="Calibri" w:cs="Calibri" w:eastAsia="Calibri" w:hAnsi="Calibri"/>
          <w:color w:val="2D2D2D"/>
          <w:sz w:val="22"/>
          <w:szCs w:val="22"/>
        </w:rPr>
        <w:t xml:space="preserve">•  Razorpay Key ID and Secret (test mode supported)</w:t>
      </w:r>
    </w:p>
    <w:p>
      <w:pPr>
        <w:pStyle w:val="Heading2"/>
        <w:spacing w:after="150" w:before="300"/>
      </w:pPr>
      <w:r>
        <w:rPr>
          <w:rFonts w:ascii="Calibri" w:cs="Calibri" w:eastAsia="Calibri" w:hAnsi="Calibri"/>
          <w:b/>
          <w:bCs/>
          <w:color w:val="1A3C6E"/>
        </w:rPr>
        <w:t xml:space="preserve">6.2 Setup Steps</w:t>
      </w:r>
    </w:p>
    <w:p>
      <w:pPr>
        <w:spacing w:after="120" w:line="276"/>
      </w:pPr>
      <w:r>
        <w:rPr>
          <w:rFonts w:ascii="Calibri" w:cs="Calibri" w:eastAsia="Calibri" w:hAnsi="Calibri"/>
          <w:b/>
          <w:bCs/>
          <w:color w:val="2D2D2D"/>
          <w:sz w:val="22"/>
          <w:szCs w:val="22"/>
        </w:rPr>
        <w:t xml:space="preserve">Step 1: </w:t>
      </w:r>
      <w:r>
        <w:rPr>
          <w:rFonts w:ascii="Calibri" w:cs="Calibri" w:eastAsia="Calibri" w:hAnsi="Calibri"/>
          <w:color w:val="2D2D2D"/>
          <w:sz w:val="22"/>
          <w:szCs w:val="22"/>
        </w:rPr>
        <w:t xml:space="preserve">Create virtual environment and install dependencies — python -m venv .venv &amp;&amp; .venv\Scripts\activate &amp;&amp; pip install -r requirements.txt</w:t>
      </w:r>
    </w:p>
    <w:p>
      <w:pPr>
        <w:spacing w:after="120" w:line="276"/>
      </w:pPr>
      <w:r>
        <w:rPr>
          <w:rFonts w:ascii="Calibri" w:cs="Calibri" w:eastAsia="Calibri" w:hAnsi="Calibri"/>
          <w:b/>
          <w:bCs/>
          <w:color w:val="2D2D2D"/>
          <w:sz w:val="22"/>
          <w:szCs w:val="22"/>
        </w:rPr>
        <w:t xml:space="preserve">Step 2: </w:t>
      </w:r>
      <w:r>
        <w:rPr>
          <w:rFonts w:ascii="Calibri" w:cs="Calibri" w:eastAsia="Calibri" w:hAnsi="Calibri"/>
          <w:color w:val="2D2D2D"/>
          <w:sz w:val="22"/>
          <w:szCs w:val="22"/>
        </w:rPr>
        <w:t xml:space="preserve">Configure .env with Supabase URL, Supabase Secret Key, Groq API Key, Razorpay Key ID, Razorpay Secret, Admin/Buyer/Merchant API keys.</w:t>
      </w:r>
    </w:p>
    <w:p>
      <w:pPr>
        <w:spacing w:after="120" w:line="276"/>
      </w:pPr>
      <w:r>
        <w:rPr>
          <w:rFonts w:ascii="Calibri" w:cs="Calibri" w:eastAsia="Calibri" w:hAnsi="Calibri"/>
          <w:b/>
          <w:bCs/>
          <w:color w:val="2D2D2D"/>
          <w:sz w:val="22"/>
          <w:szCs w:val="22"/>
        </w:rPr>
        <w:t xml:space="preserve">Step 3: </w:t>
      </w:r>
      <w:r>
        <w:rPr>
          <w:rFonts w:ascii="Calibri" w:cs="Calibri" w:eastAsia="Calibri" w:hAnsi="Calibri"/>
          <w:color w:val="2D2D2D"/>
          <w:sz w:val="22"/>
          <w:szCs w:val="22"/>
        </w:rPr>
        <w:t xml:space="preserve">Start FastAPI backend — uvicorn backend.main:app --reload --port 8000</w:t>
      </w:r>
    </w:p>
    <w:p>
      <w:pPr>
        <w:spacing w:after="120" w:line="276"/>
      </w:pPr>
      <w:r>
        <w:rPr>
          <w:rFonts w:ascii="Calibri" w:cs="Calibri" w:eastAsia="Calibri" w:hAnsi="Calibri"/>
          <w:b/>
          <w:bCs/>
          <w:color w:val="2D2D2D"/>
          <w:sz w:val="22"/>
          <w:szCs w:val="22"/>
        </w:rPr>
        <w:t xml:space="preserve">Step 4: </w:t>
      </w:r>
      <w:r>
        <w:rPr>
          <w:rFonts w:ascii="Calibri" w:cs="Calibri" w:eastAsia="Calibri" w:hAnsi="Calibri"/>
          <w:color w:val="2D2D2D"/>
          <w:sz w:val="22"/>
          <w:szCs w:val="22"/>
        </w:rPr>
        <w:t xml:space="preserve">Start Streamlit dashboard — streamlit run app.py (opens at localhost:8501)</w:t>
      </w:r>
    </w:p>
    <w:p>
      <w:pPr>
        <w:spacing w:after="120" w:line="276"/>
      </w:pPr>
      <w:r>
        <w:rPr>
          <w:rFonts w:ascii="Calibri" w:cs="Calibri" w:eastAsia="Calibri" w:hAnsi="Calibri"/>
          <w:b/>
          <w:bCs/>
          <w:color w:val="2D2D2D"/>
          <w:sz w:val="22"/>
          <w:szCs w:val="22"/>
        </w:rPr>
        <w:t xml:space="preserve">Step 5: </w:t>
      </w:r>
      <w:r>
        <w:rPr>
          <w:rFonts w:ascii="Calibri" w:cs="Calibri" w:eastAsia="Calibri" w:hAnsi="Calibri"/>
          <w:color w:val="2D2D2D"/>
          <w:sz w:val="22"/>
          <w:szCs w:val="22"/>
        </w:rPr>
        <w:t xml:space="preserve">Run A2A terminal demo — python demo/a2a_demo.py</w:t>
      </w:r>
    </w:p>
    <w:p>
      <w:pPr>
        <w:spacing w:after="120" w:line="276"/>
      </w:pPr>
      <w:r>
        <w:rPr>
          <w:rFonts w:ascii="Calibri" w:cs="Calibri" w:eastAsia="Calibri" w:hAnsi="Calibri"/>
          <w:b/>
          <w:bCs/>
          <w:color w:val="2D2D2D"/>
          <w:sz w:val="22"/>
          <w:szCs w:val="22"/>
        </w:rPr>
        <w:t xml:space="preserve">Step 6: </w:t>
      </w:r>
      <w:r>
        <w:rPr>
          <w:rFonts w:ascii="Calibri" w:cs="Calibri" w:eastAsia="Calibri" w:hAnsi="Calibri"/>
          <w:color w:val="2D2D2D"/>
          <w:sz w:val="22"/>
          <w:szCs w:val="22"/>
        </w:rPr>
        <w:t xml:space="preserve">Run modular tests — python run_modular_tests.py (19/19 should pass)</w:t>
      </w:r>
    </w:p>
    <w:p>
      <w:pPr>
        <w:spacing w:after="120" w:line="276"/>
      </w:pPr>
      <w:r>
        <w:rPr>
          <w:rFonts w:ascii="Calibri" w:cs="Calibri" w:eastAsia="Calibri" w:hAnsi="Calibri"/>
          <w:b/>
          <w:bCs/>
          <w:color w:val="2D2D2D"/>
          <w:sz w:val="22"/>
          <w:szCs w:val="22"/>
        </w:rPr>
        <w:t xml:space="preserve">Step 7: </w:t>
      </w:r>
      <w:r>
        <w:rPr>
          <w:rFonts w:ascii="Calibri" w:cs="Calibri" w:eastAsia="Calibri" w:hAnsi="Calibri"/>
          <w:color w:val="2D2D2D"/>
          <w:sz w:val="22"/>
          <w:szCs w:val="22"/>
        </w:rPr>
        <w:t xml:space="preserve">Run benchmark suite — pytest tests/test_benchmark.py -v --tb=short</w:t>
      </w:r>
    </w:p>
    <w:p>
      <w:pPr>
        <w:pStyle w:val="Heading1"/>
        <w:spacing w:after="150" w:before="300"/>
      </w:pPr>
      <w:r>
        <w:rPr>
          <w:rFonts w:ascii="Calibri" w:cs="Calibri" w:eastAsia="Calibri" w:hAnsi="Calibri"/>
          <w:b/>
          <w:bCs/>
          <w:color w:val="1A3C6E"/>
        </w:rPr>
        <w:t xml:space="preserve">7. Academic Grounding</w:t>
      </w:r>
    </w:p>
    <w:p>
      <w:pPr>
        <w:spacing w:after="120" w:line="276"/>
      </w:pPr>
      <w:r>
        <w:rPr>
          <w:rFonts w:ascii="Calibri" w:cs="Calibri" w:eastAsia="Calibri" w:hAnsi="Calibri"/>
          <w:color w:val="2D2D2D"/>
          <w:sz w:val="22"/>
          <w:szCs w:val="22"/>
        </w:rPr>
        <w:t xml:space="preserve">The platform's behavioral, economic, and security architecture is grounded in four key references:</w:t>
      </w:r>
    </w:p>
    <w:p>
      <w:pPr>
        <w:spacing w:after="80" w:line="276"/>
        <w:ind w:left="360"/>
      </w:pPr>
      <w:r>
        <w:rPr>
          <w:rFonts w:ascii="Calibri" w:cs="Calibri" w:eastAsia="Calibri" w:hAnsi="Calibri"/>
          <w:color w:val="2D2D2D"/>
          <w:sz w:val="22"/>
          <w:szCs w:val="22"/>
        </w:rPr>
        <w:t xml:space="preserve">•  PrefBench: Benchmarking Preference Elicitation in Multi-Agent Negotiation (arXiv:2605.22855) — enforces strict information asymmetry, private inventory quarantine.</w:t>
      </w:r>
    </w:p>
    <w:p>
      <w:pPr>
        <w:spacing w:after="80" w:line="276"/>
        <w:ind w:left="360"/>
      </w:pPr>
      <w:r>
        <w:rPr>
          <w:rFonts w:ascii="Calibri" w:cs="Calibri" w:eastAsia="Calibri" w:hAnsi="Calibri"/>
          <w:color w:val="2D2D2D"/>
          <w:sz w:val="22"/>
          <w:szCs w:val="22"/>
        </w:rPr>
        <w:t xml:space="preserve">•  Dynamic Bargaining under Asymmetric Information in Supply Chains (arXiv:2608.07538) — grounds logrolling, volume allocation, Perfect Bayesian Equilibrium shielding.</w:t>
      </w:r>
    </w:p>
    <w:p>
      <w:pPr>
        <w:spacing w:after="80" w:line="276"/>
        <w:ind w:left="360"/>
      </w:pPr>
      <w:r>
        <w:rPr>
          <w:rFonts w:ascii="Calibri" w:cs="Calibri" w:eastAsia="Calibri" w:hAnsi="Calibri"/>
          <w:color w:val="2D2D2D"/>
          <w:sz w:val="22"/>
          <w:szCs w:val="22"/>
        </w:rPr>
        <w:t xml:space="preserve">•  AgenticPay: Autonomous Agent Negotiation with Multi-Rail Payment Settlement (arXiv:2602.06008) — establishes dual-metric buyer evaluation and automated settlement handoff.</w:t>
      </w:r>
    </w:p>
    <w:p>
      <w:pPr>
        <w:spacing w:after="80" w:line="276"/>
        <w:ind w:left="360"/>
      </w:pPr>
      <w:r>
        <w:rPr>
          <w:rFonts w:ascii="Calibri" w:cs="Calibri" w:eastAsia="Calibri" w:hAnsi="Calibri"/>
          <w:color w:val="2D2D2D"/>
          <w:sz w:val="22"/>
          <w:szCs w:val="22"/>
        </w:rPr>
        <w:t xml:space="preserve">•  Getting to Yes: Negotiating Agreement Without Giving In (Fisher, Ury &amp; Patton, Harvard Negotiation Project) — informs Give-Get prompt design where concessions require commercial trade-offs.</w:t>
      </w:r>
    </w:p>
    <w:p>
      <w:pPr>
        <w:spacing w:before="200"/>
      </w:pPr>
    </w:p>
    <w:p>
      <w:pPr>
        <w:spacing w:before="400"/>
        <w:jc w:val="center"/>
      </w:pPr>
      <w:r>
        <w:rPr>
          <w:rFonts w:ascii="Calibri" w:cs="Calibri" w:eastAsia="Calibri" w:hAnsi="Calibri"/>
          <w:i/>
          <w:iCs/>
          <w:color w:val="888888"/>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88888"/>
        <w:sz w:val="18"/>
        <w:szCs w:val="18"/>
      </w:rPr>
      <w:t xml:space="preserve">Handshake AI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2026-09-04T20:57:14.314Z</dcterms:created>
  <dcterms:modified xsi:type="dcterms:W3CDTF">2026-09-04T20:57:14.325Z</dcterms:modified>
</cp:coreProperties>
</file>

<file path=docProps/custom.xml><?xml version="1.0" encoding="utf-8"?>
<Properties xmlns="http://schemas.openxmlformats.org/officeDocument/2006/custom-properties" xmlns:vt="http://schemas.openxmlformats.org/officeDocument/2006/docPropsVTypes"/>
</file>